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color w:val="000000"/>
          <w:sz w:val="40"/>
          <w:szCs w:val="32"/>
        </w:rPr>
      </w:pPr>
      <w:bookmarkStart w:id="16" w:name="_GoBack"/>
      <w:bookmarkEnd w:id="16"/>
    </w:p>
    <w:p>
      <w:pPr>
        <w:spacing w:line="500" w:lineRule="exact"/>
        <w:jc w:val="center"/>
        <w:rPr>
          <w:rFonts w:ascii="黑体" w:hAnsi="黑体" w:eastAsia="黑体"/>
          <w:color w:val="000000"/>
          <w:sz w:val="40"/>
          <w:szCs w:val="32"/>
        </w:rPr>
      </w:pPr>
    </w:p>
    <w:p>
      <w:pPr>
        <w:spacing w:line="500" w:lineRule="exact"/>
        <w:jc w:val="center"/>
        <w:rPr>
          <w:rFonts w:ascii="黑体" w:hAnsi="黑体" w:eastAsia="黑体"/>
          <w:color w:val="000000"/>
          <w:sz w:val="40"/>
          <w:szCs w:val="32"/>
        </w:rPr>
      </w:pPr>
    </w:p>
    <w:p>
      <w:pPr>
        <w:spacing w:line="500" w:lineRule="exact"/>
        <w:jc w:val="center"/>
        <w:rPr>
          <w:rFonts w:ascii="黑体" w:hAnsi="黑体" w:eastAsia="黑体"/>
          <w:color w:val="000000"/>
          <w:sz w:val="40"/>
          <w:szCs w:val="32"/>
        </w:rPr>
      </w:pPr>
      <w:r>
        <w:rPr>
          <w:rFonts w:hint="eastAsia" w:ascii="黑体" w:hAnsi="黑体" w:eastAsia="黑体"/>
          <w:color w:val="000000"/>
          <w:sz w:val="40"/>
          <w:szCs w:val="32"/>
        </w:rPr>
        <w:t>山东省第六届高校教师教学比赛实施方案征求意见稿</w:t>
      </w:r>
    </w:p>
    <w:p>
      <w:pPr>
        <w:spacing w:line="520" w:lineRule="exact"/>
        <w:jc w:val="center"/>
        <w:rPr>
          <w:rFonts w:ascii="华文中宋" w:hAnsi="华文中宋" w:eastAsia="华文中宋" w:cs="仿宋"/>
          <w:kern w:val="0"/>
          <w:sz w:val="40"/>
          <w:szCs w:val="28"/>
        </w:rPr>
      </w:pP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为贯彻落实《中共中央国务院关于全面深化新时代教师队伍建设改革》的意见精神，进一步提升我省高校教师教学能力和水平，促进高校教师专业发展，经研究，决定继续举办山东省高校教师教学比赛,</w:t>
      </w:r>
      <w:r>
        <w:rPr>
          <w:rFonts w:hint="eastAsia"/>
        </w:rPr>
        <w:t xml:space="preserve"> </w:t>
      </w:r>
      <w:r>
        <w:rPr>
          <w:rFonts w:hint="eastAsia" w:ascii="仿宋" w:hAnsi="仿宋" w:eastAsia="仿宋" w:cs="仿宋"/>
          <w:kern w:val="0"/>
          <w:sz w:val="28"/>
          <w:szCs w:val="28"/>
        </w:rPr>
        <w:t>现面向各高校征求意见，欢迎提出宝贵意见与建议。从即日起至2018年</w:t>
      </w:r>
      <w:r>
        <w:rPr>
          <w:rFonts w:ascii="仿宋" w:hAnsi="仿宋" w:eastAsia="仿宋" w:cs="仿宋"/>
          <w:kern w:val="0"/>
          <w:sz w:val="28"/>
          <w:szCs w:val="28"/>
        </w:rPr>
        <w:t>9</w:t>
      </w:r>
      <w:r>
        <w:rPr>
          <w:rFonts w:hint="eastAsia" w:ascii="仿宋" w:hAnsi="仿宋" w:eastAsia="仿宋" w:cs="仿宋"/>
          <w:kern w:val="0"/>
          <w:sz w:val="28"/>
          <w:szCs w:val="28"/>
        </w:rPr>
        <w:t>月</w:t>
      </w:r>
      <w:r>
        <w:rPr>
          <w:rFonts w:ascii="仿宋" w:hAnsi="仿宋" w:eastAsia="仿宋" w:cs="仿宋"/>
          <w:kern w:val="0"/>
          <w:sz w:val="28"/>
          <w:szCs w:val="28"/>
        </w:rPr>
        <w:t>10</w:t>
      </w:r>
      <w:r>
        <w:rPr>
          <w:rFonts w:hint="eastAsia" w:ascii="仿宋" w:hAnsi="仿宋" w:eastAsia="仿宋" w:cs="仿宋"/>
          <w:kern w:val="0"/>
          <w:sz w:val="28"/>
          <w:szCs w:val="28"/>
        </w:rPr>
        <w:t>日可通过电子邮件反馈给山东省高等学校师资培训中心，邮箱地址：sdgspx@</w:t>
      </w:r>
      <w:r>
        <w:rPr>
          <w:rFonts w:ascii="仿宋" w:hAnsi="仿宋" w:eastAsia="仿宋" w:cs="仿宋"/>
          <w:kern w:val="0"/>
          <w:sz w:val="28"/>
          <w:szCs w:val="28"/>
        </w:rPr>
        <w:t>126.</w:t>
      </w:r>
      <w:r>
        <w:rPr>
          <w:rFonts w:hint="eastAsia" w:ascii="仿宋" w:hAnsi="仿宋" w:eastAsia="仿宋" w:cs="仿宋"/>
          <w:kern w:val="0"/>
          <w:sz w:val="28"/>
          <w:szCs w:val="28"/>
        </w:rPr>
        <w:t>com。</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本届比赛包含高校青年教师教学比赛、信息化教学比赛两项赛事，分别设个人奖和单位组织奖。</w:t>
      </w:r>
    </w:p>
    <w:p>
      <w:pPr>
        <w:ind w:firstLine="680" w:firstLineChars="200"/>
        <w:rPr>
          <w:rFonts w:ascii="仿宋" w:hAnsi="仿宋" w:eastAsia="仿宋" w:cs="仿宋"/>
          <w:b/>
          <w:kern w:val="0"/>
          <w:sz w:val="32"/>
          <w:szCs w:val="28"/>
        </w:rPr>
      </w:pPr>
    </w:p>
    <w:p>
      <w:pPr>
        <w:spacing w:after="292" w:afterLines="50"/>
        <w:jc w:val="center"/>
        <w:rPr>
          <w:rFonts w:ascii="黑体" w:hAnsi="黑体" w:eastAsia="黑体"/>
          <w:color w:val="000000"/>
          <w:sz w:val="40"/>
          <w:szCs w:val="32"/>
        </w:rPr>
      </w:pPr>
      <w:r>
        <w:rPr>
          <w:rFonts w:hint="eastAsia" w:ascii="黑体" w:hAnsi="黑体" w:eastAsia="黑体"/>
          <w:color w:val="000000"/>
          <w:sz w:val="40"/>
          <w:szCs w:val="32"/>
        </w:rPr>
        <w:t xml:space="preserve">第一部分 </w:t>
      </w:r>
      <w:r>
        <w:rPr>
          <w:rFonts w:ascii="黑体" w:hAnsi="黑体" w:eastAsia="黑体"/>
          <w:color w:val="000000"/>
          <w:sz w:val="40"/>
          <w:szCs w:val="32"/>
        </w:rPr>
        <w:t xml:space="preserve"> </w:t>
      </w:r>
      <w:r>
        <w:rPr>
          <w:rFonts w:hint="eastAsia" w:ascii="黑体" w:hAnsi="黑体" w:eastAsia="黑体"/>
          <w:color w:val="000000"/>
          <w:sz w:val="40"/>
          <w:szCs w:val="32"/>
        </w:rPr>
        <w:t>高校青年教师教学比赛</w:t>
      </w:r>
    </w:p>
    <w:p>
      <w:pPr>
        <w:widowControl/>
        <w:shd w:val="clear" w:color="auto" w:fill="FFFFFF"/>
        <w:spacing w:line="518" w:lineRule="atLeast"/>
        <w:ind w:firstLine="677"/>
        <w:jc w:val="left"/>
        <w:rPr>
          <w:rFonts w:ascii="黑体" w:hAnsi="黑体" w:eastAsia="黑体" w:cs="宋体"/>
          <w:kern w:val="0"/>
          <w:sz w:val="32"/>
          <w:szCs w:val="32"/>
        </w:rPr>
      </w:pPr>
      <w:r>
        <w:rPr>
          <w:rFonts w:hint="eastAsia" w:ascii="黑体" w:hAnsi="黑体" w:eastAsia="黑体" w:cs="宋体"/>
          <w:kern w:val="0"/>
          <w:sz w:val="32"/>
          <w:szCs w:val="32"/>
        </w:rPr>
        <w:t>一、参赛对象</w:t>
      </w:r>
    </w:p>
    <w:p>
      <w:pPr>
        <w:pStyle w:val="5"/>
        <w:widowControl/>
        <w:spacing w:before="0" w:beforeAutospacing="0" w:after="0" w:afterAutospacing="0"/>
        <w:ind w:firstLine="600" w:firstLineChars="200"/>
        <w:rPr>
          <w:rFonts w:ascii="仿宋" w:hAnsi="仿宋" w:eastAsia="仿宋" w:cs="宋体"/>
          <w:color w:val="000000"/>
          <w:sz w:val="28"/>
          <w:szCs w:val="32"/>
        </w:rPr>
      </w:pPr>
      <w:r>
        <w:rPr>
          <w:rFonts w:hint="eastAsia" w:ascii="仿宋" w:hAnsi="仿宋" w:eastAsia="仿宋" w:cs="宋体"/>
          <w:color w:val="000000"/>
          <w:sz w:val="28"/>
          <w:szCs w:val="32"/>
        </w:rPr>
        <w:t>省内普通高校取得高等学校教师资格证并从事教育教学工作、年龄38岁以下（1980年8月31日后出生）的专任教师，往届一等奖获得者不再参赛。</w:t>
      </w:r>
    </w:p>
    <w:p>
      <w:pPr>
        <w:widowControl/>
        <w:shd w:val="clear" w:color="auto" w:fill="FFFFFF"/>
        <w:spacing w:line="518" w:lineRule="atLeast"/>
        <w:ind w:firstLine="677"/>
        <w:jc w:val="left"/>
        <w:rPr>
          <w:rFonts w:ascii="黑体" w:hAnsi="黑体" w:eastAsia="黑体" w:cs="宋体"/>
          <w:kern w:val="0"/>
          <w:sz w:val="32"/>
          <w:szCs w:val="32"/>
        </w:rPr>
      </w:pPr>
      <w:r>
        <w:rPr>
          <w:rFonts w:hint="eastAsia" w:ascii="黑体" w:hAnsi="黑体" w:eastAsia="黑体" w:cs="宋体"/>
          <w:kern w:val="0"/>
          <w:sz w:val="32"/>
          <w:szCs w:val="32"/>
        </w:rPr>
        <w:t>二、参赛名额</w:t>
      </w:r>
    </w:p>
    <w:p>
      <w:pPr>
        <w:widowControl/>
        <w:shd w:val="clear" w:color="auto" w:fill="FFFFFF"/>
        <w:spacing w:line="518" w:lineRule="atLeast"/>
        <w:ind w:firstLine="677"/>
        <w:jc w:val="left"/>
        <w:rPr>
          <w:rFonts w:ascii="楷体" w:hAnsi="楷体" w:eastAsia="楷体" w:cs="宋体"/>
          <w:kern w:val="0"/>
          <w:sz w:val="32"/>
          <w:szCs w:val="32"/>
        </w:rPr>
      </w:pPr>
      <w:r>
        <w:rPr>
          <w:rFonts w:hint="eastAsia" w:ascii="楷体" w:hAnsi="楷体" w:eastAsia="楷体" w:cs="宋体"/>
          <w:kern w:val="0"/>
          <w:sz w:val="32"/>
          <w:szCs w:val="32"/>
        </w:rPr>
        <w:t>（一）分配名额</w:t>
      </w:r>
    </w:p>
    <w:p>
      <w:pPr>
        <w:pStyle w:val="5"/>
        <w:widowControl/>
        <w:spacing w:before="0" w:beforeAutospacing="0" w:after="0" w:afterAutospacing="0"/>
        <w:ind w:firstLine="600" w:firstLineChars="200"/>
        <w:rPr>
          <w:rFonts w:ascii="仿宋" w:hAnsi="仿宋" w:eastAsia="仿宋" w:cs="宋体"/>
          <w:b/>
          <w:color w:val="000000"/>
          <w:sz w:val="28"/>
          <w:szCs w:val="32"/>
        </w:rPr>
      </w:pPr>
      <w:r>
        <w:rPr>
          <w:rFonts w:hint="eastAsia" w:ascii="仿宋" w:hAnsi="仿宋" w:eastAsia="仿宋" w:cs="宋体"/>
          <w:color w:val="000000" w:themeColor="text1"/>
          <w:sz w:val="28"/>
          <w:szCs w:val="32"/>
          <w14:textFill>
            <w14:solidFill>
              <w14:schemeClr w14:val="tx1"/>
            </w14:solidFill>
          </w14:textFill>
        </w:rPr>
        <w:t>以201</w:t>
      </w:r>
      <w:r>
        <w:rPr>
          <w:rFonts w:ascii="仿宋" w:hAnsi="仿宋" w:eastAsia="仿宋" w:cs="宋体"/>
          <w:color w:val="000000" w:themeColor="text1"/>
          <w:sz w:val="28"/>
          <w:szCs w:val="32"/>
          <w14:textFill>
            <w14:solidFill>
              <w14:schemeClr w14:val="tx1"/>
            </w14:solidFill>
          </w14:textFill>
        </w:rPr>
        <w:t>7</w:t>
      </w:r>
      <w:r>
        <w:rPr>
          <w:rFonts w:hint="eastAsia" w:ascii="仿宋" w:hAnsi="仿宋" w:eastAsia="仿宋" w:cs="宋体"/>
          <w:color w:val="000000" w:themeColor="text1"/>
          <w:sz w:val="28"/>
          <w:szCs w:val="32"/>
          <w14:textFill>
            <w14:solidFill>
              <w14:schemeClr w14:val="tx1"/>
            </w14:solidFill>
          </w14:textFill>
        </w:rPr>
        <w:t>年全省教育事业统计数据中各高校39岁以下专任教师</w:t>
      </w:r>
      <w:r>
        <w:rPr>
          <w:rFonts w:hint="eastAsia" w:ascii="仿宋" w:hAnsi="仿宋" w:eastAsia="仿宋" w:cs="宋体"/>
          <w:color w:val="000000"/>
          <w:sz w:val="28"/>
          <w:szCs w:val="32"/>
        </w:rPr>
        <w:t>数为基数，每</w:t>
      </w:r>
      <w:r>
        <w:rPr>
          <w:rFonts w:ascii="仿宋" w:hAnsi="仿宋" w:eastAsia="仿宋" w:cs="宋体"/>
          <w:color w:val="000000"/>
          <w:sz w:val="28"/>
          <w:szCs w:val="32"/>
        </w:rPr>
        <w:t>4</w:t>
      </w:r>
      <w:r>
        <w:rPr>
          <w:rFonts w:hint="eastAsia" w:ascii="仿宋" w:hAnsi="仿宋" w:eastAsia="仿宋" w:cs="宋体"/>
          <w:color w:val="000000"/>
          <w:sz w:val="28"/>
          <w:szCs w:val="32"/>
        </w:rPr>
        <w:t>00名专任教师各高校推荐1人参赛。</w:t>
      </w:r>
    </w:p>
    <w:p>
      <w:pPr>
        <w:widowControl/>
        <w:shd w:val="clear" w:color="auto" w:fill="FFFFFF"/>
        <w:spacing w:line="518" w:lineRule="atLeast"/>
        <w:ind w:firstLine="677"/>
        <w:jc w:val="left"/>
        <w:rPr>
          <w:rFonts w:ascii="楷体" w:hAnsi="楷体" w:eastAsia="楷体" w:cs="宋体"/>
          <w:kern w:val="0"/>
          <w:sz w:val="32"/>
          <w:szCs w:val="32"/>
        </w:rPr>
      </w:pPr>
      <w:r>
        <w:rPr>
          <w:rFonts w:hint="eastAsia" w:ascii="楷体" w:hAnsi="楷体" w:eastAsia="楷体" w:cs="宋体"/>
          <w:kern w:val="0"/>
          <w:sz w:val="32"/>
          <w:szCs w:val="32"/>
        </w:rPr>
        <w:t>（二）抽取名额</w:t>
      </w:r>
    </w:p>
    <w:p>
      <w:pPr>
        <w:pStyle w:val="5"/>
        <w:widowControl/>
        <w:spacing w:before="0" w:beforeAutospacing="0" w:after="0" w:afterAutospacing="0"/>
        <w:ind w:firstLine="600" w:firstLineChars="200"/>
        <w:rPr>
          <w:rFonts w:ascii="仿宋" w:hAnsi="仿宋" w:eastAsia="仿宋" w:cs="宋体"/>
          <w:b/>
          <w:color w:val="000000"/>
          <w:sz w:val="28"/>
          <w:szCs w:val="32"/>
        </w:rPr>
      </w:pPr>
      <w:r>
        <w:rPr>
          <w:rFonts w:hint="eastAsia" w:ascii="仿宋" w:hAnsi="仿宋" w:eastAsia="仿宋" w:cs="宋体"/>
          <w:color w:val="000000"/>
          <w:sz w:val="28"/>
          <w:szCs w:val="32"/>
        </w:rPr>
        <w:t>各高校根据本校分配名额按照1:</w:t>
      </w:r>
      <w:r>
        <w:rPr>
          <w:rFonts w:ascii="仿宋" w:hAnsi="仿宋" w:eastAsia="仿宋" w:cs="宋体"/>
          <w:color w:val="000000"/>
          <w:sz w:val="28"/>
          <w:szCs w:val="32"/>
        </w:rPr>
        <w:t>5</w:t>
      </w:r>
      <w:r>
        <w:rPr>
          <w:rFonts w:hint="eastAsia" w:ascii="仿宋" w:hAnsi="仿宋" w:eastAsia="仿宋" w:cs="宋体"/>
          <w:color w:val="000000"/>
          <w:sz w:val="28"/>
          <w:szCs w:val="32"/>
        </w:rPr>
        <w:t>的比例推荐备选专任教师，省教育厅从备选专任教师中随机抽取与分配名额相等的人数参赛。</w:t>
      </w:r>
    </w:p>
    <w:p>
      <w:pPr>
        <w:pStyle w:val="5"/>
        <w:widowControl/>
        <w:spacing w:before="0" w:beforeAutospacing="0" w:after="0" w:afterAutospacing="0"/>
        <w:ind w:firstLine="600" w:firstLineChars="200"/>
        <w:rPr>
          <w:rFonts w:ascii="仿宋" w:hAnsi="仿宋" w:eastAsia="仿宋" w:cs="宋体"/>
          <w:b/>
          <w:sz w:val="28"/>
          <w:szCs w:val="32"/>
        </w:rPr>
      </w:pPr>
      <w:r>
        <w:rPr>
          <w:rFonts w:hint="eastAsia" w:ascii="仿宋" w:hAnsi="仿宋" w:eastAsia="仿宋" w:cs="宋体"/>
          <w:b/>
          <w:color w:val="000000"/>
          <w:sz w:val="28"/>
          <w:szCs w:val="32"/>
        </w:rPr>
        <w:t>（三）奖励名额</w:t>
      </w:r>
    </w:p>
    <w:p>
      <w:pPr>
        <w:pStyle w:val="5"/>
        <w:widowControl/>
        <w:spacing w:before="0" w:beforeAutospacing="0" w:after="0" w:afterAutospacing="0"/>
        <w:ind w:firstLine="600" w:firstLineChars="200"/>
        <w:jc w:val="both"/>
        <w:rPr>
          <w:rFonts w:ascii="仿宋" w:hAnsi="仿宋" w:eastAsia="仿宋" w:cs="宋体"/>
          <w:color w:val="000000"/>
          <w:sz w:val="28"/>
          <w:szCs w:val="32"/>
        </w:rPr>
      </w:pPr>
      <w:r>
        <w:rPr>
          <w:rFonts w:hint="eastAsia" w:ascii="仿宋" w:hAnsi="仿宋" w:eastAsia="仿宋" w:cs="宋体"/>
          <w:color w:val="000000"/>
          <w:sz w:val="28"/>
          <w:szCs w:val="32"/>
        </w:rPr>
        <w:t>1.获得第五届全省高校青年教师教学比赛优秀组织奖的高校，增加1个</w:t>
      </w:r>
      <w:r>
        <w:rPr>
          <w:rFonts w:hint="eastAsia" w:ascii="仿宋" w:hAnsi="仿宋" w:eastAsia="仿宋" w:cs="宋体"/>
          <w:b/>
          <w:color w:val="000000"/>
          <w:sz w:val="28"/>
          <w:szCs w:val="32"/>
        </w:rPr>
        <w:t>参赛名额</w:t>
      </w:r>
      <w:r>
        <w:rPr>
          <w:rFonts w:hint="eastAsia" w:ascii="仿宋" w:hAnsi="仿宋" w:eastAsia="仿宋" w:cs="宋体"/>
          <w:color w:val="000000"/>
          <w:sz w:val="28"/>
          <w:szCs w:val="32"/>
        </w:rPr>
        <w:t>；</w:t>
      </w:r>
    </w:p>
    <w:p>
      <w:pPr>
        <w:pStyle w:val="5"/>
        <w:widowControl/>
        <w:spacing w:before="0" w:beforeAutospacing="0" w:after="0" w:afterAutospacing="0"/>
        <w:ind w:firstLine="600" w:firstLineChars="200"/>
        <w:jc w:val="both"/>
        <w:rPr>
          <w:rFonts w:ascii="仿宋" w:hAnsi="仿宋" w:eastAsia="仿宋" w:cs="宋体"/>
          <w:color w:val="000000"/>
          <w:sz w:val="28"/>
          <w:szCs w:val="32"/>
        </w:rPr>
      </w:pPr>
      <w:r>
        <w:rPr>
          <w:rFonts w:hint="eastAsia" w:ascii="仿宋" w:hAnsi="仿宋" w:eastAsia="仿宋" w:cs="宋体"/>
          <w:color w:val="000000"/>
          <w:sz w:val="28"/>
          <w:szCs w:val="32"/>
        </w:rPr>
        <w:t>2</w:t>
      </w:r>
      <w:r>
        <w:rPr>
          <w:rFonts w:ascii="仿宋" w:hAnsi="仿宋" w:eastAsia="仿宋" w:cs="宋体"/>
          <w:color w:val="000000"/>
          <w:sz w:val="28"/>
          <w:szCs w:val="32"/>
        </w:rPr>
        <w:t>.</w:t>
      </w:r>
      <w:r>
        <w:rPr>
          <w:rFonts w:hint="eastAsia" w:ascii="仿宋" w:hAnsi="仿宋" w:eastAsia="仿宋" w:cs="宋体"/>
          <w:color w:val="000000"/>
          <w:sz w:val="28"/>
          <w:szCs w:val="32"/>
        </w:rPr>
        <w:t>获得第五届全省青年教师教学比赛一等奖的选手所在高校按照一等奖获奖人数增加相应</w:t>
      </w:r>
      <w:r>
        <w:rPr>
          <w:rFonts w:hint="eastAsia" w:ascii="仿宋" w:hAnsi="仿宋" w:eastAsia="仿宋" w:cs="宋体"/>
          <w:b/>
          <w:color w:val="000000"/>
          <w:sz w:val="28"/>
          <w:szCs w:val="32"/>
        </w:rPr>
        <w:t>抽取名额</w:t>
      </w:r>
      <w:r>
        <w:rPr>
          <w:rFonts w:hint="eastAsia" w:ascii="仿宋" w:hAnsi="仿宋" w:eastAsia="仿宋" w:cs="宋体"/>
          <w:color w:val="000000"/>
          <w:sz w:val="28"/>
          <w:szCs w:val="32"/>
        </w:rPr>
        <w:t>；</w:t>
      </w:r>
    </w:p>
    <w:p>
      <w:pPr>
        <w:pStyle w:val="5"/>
        <w:widowControl/>
        <w:spacing w:before="0" w:beforeAutospacing="0" w:after="0" w:afterAutospacing="0"/>
        <w:ind w:firstLine="600" w:firstLineChars="200"/>
        <w:jc w:val="both"/>
        <w:rPr>
          <w:rFonts w:ascii="仿宋" w:hAnsi="仿宋" w:eastAsia="仿宋" w:cs="宋体"/>
          <w:color w:val="000000"/>
          <w:sz w:val="28"/>
          <w:szCs w:val="32"/>
        </w:rPr>
      </w:pPr>
      <w:r>
        <w:rPr>
          <w:rFonts w:hint="eastAsia" w:ascii="仿宋" w:hAnsi="仿宋" w:eastAsia="仿宋" w:cs="宋体"/>
          <w:color w:val="000000"/>
          <w:sz w:val="28"/>
          <w:szCs w:val="32"/>
        </w:rPr>
        <w:t>3</w:t>
      </w:r>
      <w:r>
        <w:rPr>
          <w:rFonts w:ascii="仿宋" w:hAnsi="仿宋" w:eastAsia="仿宋" w:cs="宋体"/>
          <w:color w:val="000000"/>
          <w:sz w:val="28"/>
          <w:szCs w:val="32"/>
        </w:rPr>
        <w:t>.</w:t>
      </w:r>
      <w:r>
        <w:rPr>
          <w:rFonts w:hint="eastAsia" w:ascii="仿宋" w:hAnsi="仿宋" w:eastAsia="仿宋" w:cs="宋体"/>
          <w:color w:val="000000"/>
          <w:sz w:val="28"/>
          <w:szCs w:val="32"/>
        </w:rPr>
        <w:t>符合参赛条件的201</w:t>
      </w:r>
      <w:r>
        <w:rPr>
          <w:rFonts w:ascii="仿宋" w:hAnsi="仿宋" w:eastAsia="仿宋" w:cs="宋体"/>
          <w:color w:val="000000"/>
          <w:sz w:val="28"/>
          <w:szCs w:val="32"/>
        </w:rPr>
        <w:t>8</w:t>
      </w:r>
      <w:r>
        <w:rPr>
          <w:rFonts w:hint="eastAsia" w:ascii="仿宋" w:hAnsi="仿宋" w:eastAsia="仿宋" w:cs="宋体"/>
          <w:color w:val="000000"/>
          <w:sz w:val="28"/>
          <w:szCs w:val="32"/>
        </w:rPr>
        <w:t>年度全省普通本科高校青年教师教学能力提升培训的优秀学员，可直接进入省级比赛初赛，不受各高校分配名额限制；</w:t>
      </w:r>
    </w:p>
    <w:p>
      <w:pPr>
        <w:pStyle w:val="5"/>
        <w:widowControl/>
        <w:spacing w:before="0" w:beforeAutospacing="0" w:after="0" w:afterAutospacing="0"/>
        <w:ind w:firstLine="600" w:firstLineChars="200"/>
        <w:jc w:val="both"/>
        <w:rPr>
          <w:rFonts w:ascii="仿宋" w:hAnsi="仿宋" w:eastAsia="仿宋" w:cs="宋体"/>
          <w:color w:val="000000"/>
          <w:sz w:val="28"/>
          <w:szCs w:val="32"/>
        </w:rPr>
      </w:pPr>
      <w:r>
        <w:rPr>
          <w:rFonts w:hint="eastAsia" w:ascii="仿宋" w:hAnsi="仿宋" w:eastAsia="仿宋" w:cs="宋体"/>
          <w:color w:val="000000"/>
          <w:sz w:val="28"/>
          <w:szCs w:val="32"/>
        </w:rPr>
        <w:t>注：在第五届全省高校青年教师教学比赛中推荐参赛选手人数不足本校分配名额的高校，在第六届比赛中核减相应参赛名额，名额减至零时，参赛名额为1。</w:t>
      </w:r>
    </w:p>
    <w:p>
      <w:pPr>
        <w:widowControl/>
        <w:shd w:val="clear" w:color="auto" w:fill="FFFFFF"/>
        <w:spacing w:line="518" w:lineRule="atLeast"/>
        <w:ind w:firstLine="677"/>
        <w:jc w:val="left"/>
        <w:rPr>
          <w:rFonts w:ascii="黑体" w:hAnsi="黑体" w:eastAsia="黑体" w:cs="宋体"/>
          <w:kern w:val="0"/>
          <w:sz w:val="32"/>
          <w:szCs w:val="32"/>
        </w:rPr>
      </w:pPr>
      <w:r>
        <w:rPr>
          <w:rFonts w:hint="eastAsia" w:ascii="黑体" w:hAnsi="黑体" w:eastAsia="黑体" w:cs="宋体"/>
          <w:kern w:val="0"/>
          <w:sz w:val="32"/>
          <w:szCs w:val="32"/>
        </w:rPr>
        <w:t>三、比赛安排</w:t>
      </w:r>
    </w:p>
    <w:p>
      <w:pPr>
        <w:widowControl/>
        <w:shd w:val="clear" w:color="auto" w:fill="FFFFFF"/>
        <w:spacing w:line="518" w:lineRule="atLeast"/>
        <w:ind w:firstLine="677"/>
        <w:jc w:val="left"/>
        <w:rPr>
          <w:rFonts w:ascii="楷体" w:hAnsi="楷体" w:eastAsia="楷体" w:cs="宋体"/>
          <w:kern w:val="0"/>
          <w:sz w:val="32"/>
          <w:szCs w:val="32"/>
        </w:rPr>
      </w:pPr>
      <w:r>
        <w:rPr>
          <w:rFonts w:hint="eastAsia" w:ascii="楷体" w:hAnsi="楷体" w:eastAsia="楷体" w:cs="宋体"/>
          <w:kern w:val="0"/>
          <w:sz w:val="32"/>
          <w:szCs w:val="32"/>
        </w:rPr>
        <w:t>（一）校级选拔</w:t>
      </w:r>
    </w:p>
    <w:p>
      <w:pPr>
        <w:pStyle w:val="5"/>
        <w:widowControl/>
        <w:spacing w:before="0" w:beforeAutospacing="0" w:after="0" w:afterAutospacing="0"/>
        <w:ind w:firstLine="600" w:firstLineChars="200"/>
        <w:rPr>
          <w:rFonts w:ascii="仿宋" w:hAnsi="仿宋" w:eastAsia="仿宋" w:cs="宋体"/>
          <w:sz w:val="28"/>
          <w:szCs w:val="32"/>
        </w:rPr>
      </w:pPr>
      <w:r>
        <w:rPr>
          <w:rFonts w:hint="eastAsia" w:ascii="仿宋" w:hAnsi="仿宋" w:eastAsia="仿宋" w:cs="宋体"/>
          <w:color w:val="000000"/>
          <w:sz w:val="28"/>
          <w:szCs w:val="32"/>
        </w:rPr>
        <w:t>各高校通过组织校内比赛评选推荐参加省级比赛的选手并确定备选专任教师，省教育厅在各高校备选专任教师中随机抽取选手（可允许调换不超过总抽取选手数的</w:t>
      </w:r>
      <w:r>
        <w:rPr>
          <w:rFonts w:ascii="仿宋" w:hAnsi="仿宋" w:eastAsia="仿宋" w:cs="宋体"/>
          <w:color w:val="000000"/>
          <w:sz w:val="28"/>
          <w:szCs w:val="32"/>
        </w:rPr>
        <w:t>20</w:t>
      </w:r>
      <w:r>
        <w:rPr>
          <w:rFonts w:hint="eastAsia" w:ascii="仿宋" w:hAnsi="仿宋" w:eastAsia="仿宋" w:cs="宋体"/>
          <w:color w:val="000000"/>
          <w:sz w:val="28"/>
          <w:szCs w:val="32"/>
        </w:rPr>
        <w:t>%</w:t>
      </w:r>
      <w:r>
        <w:rPr>
          <w:rFonts w:ascii="仿宋" w:hAnsi="仿宋" w:eastAsia="仿宋" w:cs="宋体"/>
          <w:color w:val="000000"/>
          <w:sz w:val="28"/>
          <w:szCs w:val="32"/>
        </w:rPr>
        <w:t>）</w:t>
      </w:r>
      <w:r>
        <w:rPr>
          <w:rFonts w:hint="eastAsia" w:ascii="仿宋" w:hAnsi="仿宋" w:eastAsia="仿宋" w:cs="宋体"/>
          <w:color w:val="000000"/>
          <w:sz w:val="28"/>
          <w:szCs w:val="32"/>
        </w:rPr>
        <w:t>。</w:t>
      </w:r>
    </w:p>
    <w:p>
      <w:pPr>
        <w:pStyle w:val="5"/>
        <w:widowControl/>
        <w:spacing w:before="0" w:beforeAutospacing="0" w:after="0" w:afterAutospacing="0"/>
        <w:ind w:firstLine="680" w:firstLineChars="200"/>
        <w:rPr>
          <w:rFonts w:ascii="楷体" w:hAnsi="楷体" w:eastAsia="楷体" w:cs="宋体"/>
          <w:sz w:val="32"/>
          <w:szCs w:val="32"/>
        </w:rPr>
      </w:pPr>
      <w:r>
        <w:rPr>
          <w:rFonts w:hint="eastAsia" w:ascii="楷体" w:hAnsi="楷体" w:eastAsia="楷体" w:cs="宋体"/>
          <w:sz w:val="32"/>
          <w:szCs w:val="32"/>
        </w:rPr>
        <w:t>（二）省级比赛</w:t>
      </w:r>
    </w:p>
    <w:p>
      <w:pPr>
        <w:pStyle w:val="5"/>
        <w:widowControl/>
        <w:spacing w:before="0" w:beforeAutospacing="0" w:after="0" w:afterAutospacing="0"/>
        <w:ind w:firstLine="600" w:firstLineChars="200"/>
        <w:rPr>
          <w:rFonts w:ascii="仿宋" w:hAnsi="仿宋" w:eastAsia="仿宋" w:cs="宋体"/>
          <w:sz w:val="28"/>
          <w:szCs w:val="32"/>
        </w:rPr>
      </w:pPr>
      <w:r>
        <w:rPr>
          <w:rFonts w:hint="eastAsia" w:ascii="仿宋" w:hAnsi="仿宋" w:eastAsia="仿宋" w:cs="宋体"/>
          <w:color w:val="000000"/>
          <w:sz w:val="28"/>
          <w:szCs w:val="32"/>
        </w:rPr>
        <w:t>分初赛、复赛、决赛三个阶段，</w:t>
      </w:r>
      <w:r>
        <w:rPr>
          <w:rFonts w:hint="eastAsia" w:ascii="仿宋" w:hAnsi="仿宋" w:eastAsia="仿宋" w:cs="宋体"/>
          <w:b/>
          <w:color w:val="000000"/>
          <w:sz w:val="28"/>
          <w:szCs w:val="32"/>
        </w:rPr>
        <w:t>不分本科、高职序列</w:t>
      </w:r>
      <w:r>
        <w:rPr>
          <w:rFonts w:ascii="仿宋" w:hAnsi="仿宋" w:eastAsia="仿宋" w:cs="宋体"/>
          <w:color w:val="000000"/>
          <w:sz w:val="28"/>
          <w:szCs w:val="32"/>
        </w:rPr>
        <w:t>，</w:t>
      </w:r>
      <w:r>
        <w:rPr>
          <w:rFonts w:hint="eastAsia" w:ascii="仿宋" w:hAnsi="仿宋" w:eastAsia="仿宋" w:cs="宋体"/>
          <w:color w:val="000000"/>
          <w:sz w:val="28"/>
          <w:szCs w:val="32"/>
        </w:rPr>
        <w:t>具体实施方案参照山东省高校青年教师教学比赛实施方案，见附件一。</w:t>
      </w:r>
    </w:p>
    <w:p>
      <w:pPr>
        <w:pStyle w:val="5"/>
        <w:widowControl/>
        <w:spacing w:before="0" w:beforeAutospacing="0" w:after="0" w:afterAutospacing="0"/>
        <w:ind w:firstLine="600" w:firstLineChars="200"/>
        <w:rPr>
          <w:rFonts w:ascii="仿宋" w:hAnsi="仿宋" w:eastAsia="仿宋" w:cs="宋体"/>
          <w:color w:val="000000"/>
          <w:sz w:val="28"/>
          <w:szCs w:val="32"/>
        </w:rPr>
      </w:pPr>
      <w:r>
        <w:rPr>
          <w:rFonts w:hint="eastAsia" w:ascii="仿宋" w:hAnsi="仿宋" w:eastAsia="仿宋" w:cs="宋体"/>
          <w:color w:val="000000"/>
          <w:sz w:val="28"/>
          <w:szCs w:val="32"/>
        </w:rPr>
        <w:t>1．初赛。依据学科门类（专业大类）分组进行，采用网上评审课堂教学视频的方式进行。根据各分组比赛成绩产生参加复赛的选手及优秀奖获得者。</w:t>
      </w:r>
    </w:p>
    <w:p>
      <w:pPr>
        <w:pStyle w:val="5"/>
        <w:widowControl/>
        <w:spacing w:before="0" w:beforeAutospacing="0" w:after="0" w:afterAutospacing="0"/>
        <w:ind w:firstLine="600" w:firstLineChars="200"/>
        <w:rPr>
          <w:rFonts w:ascii="仿宋" w:hAnsi="仿宋" w:eastAsia="仿宋" w:cs="宋体"/>
          <w:sz w:val="28"/>
          <w:szCs w:val="32"/>
        </w:rPr>
      </w:pPr>
      <w:r>
        <w:rPr>
          <w:rFonts w:hint="eastAsia" w:ascii="仿宋" w:hAnsi="仿宋" w:eastAsia="仿宋" w:cs="宋体"/>
          <w:color w:val="000000"/>
          <w:sz w:val="28"/>
          <w:szCs w:val="32"/>
        </w:rPr>
        <w:t>2．复赛。按文科、理科、工科、思政四个组别分别设立分赛区进行现场比赛，产生参加决赛的选手及三等奖获得者。</w:t>
      </w:r>
    </w:p>
    <w:p>
      <w:pPr>
        <w:pStyle w:val="5"/>
        <w:widowControl/>
        <w:spacing w:before="0" w:beforeAutospacing="0" w:after="0" w:afterAutospacing="0"/>
        <w:ind w:firstLine="600" w:firstLineChars="200"/>
        <w:rPr>
          <w:rFonts w:ascii="仿宋" w:hAnsi="仿宋" w:eastAsia="仿宋" w:cs="宋体"/>
          <w:color w:val="000000"/>
          <w:sz w:val="28"/>
          <w:szCs w:val="32"/>
        </w:rPr>
      </w:pPr>
      <w:r>
        <w:rPr>
          <w:rFonts w:hint="eastAsia" w:ascii="仿宋" w:hAnsi="仿宋" w:eastAsia="仿宋" w:cs="宋体"/>
          <w:color w:val="000000"/>
          <w:sz w:val="28"/>
          <w:szCs w:val="32"/>
        </w:rPr>
        <w:t>3．决赛。按文科、理科、工科、思政四个组别进行现场比赛，</w:t>
      </w:r>
      <w:bookmarkStart w:id="0" w:name="_Hlk521058398"/>
      <w:r>
        <w:rPr>
          <w:rFonts w:hint="eastAsia" w:ascii="仿宋" w:hAnsi="仿宋" w:eastAsia="仿宋" w:cs="宋体"/>
          <w:color w:val="000000"/>
          <w:sz w:val="28"/>
          <w:szCs w:val="32"/>
        </w:rPr>
        <w:t>确定一、二等奖获得者。</w:t>
      </w:r>
      <w:bookmarkEnd w:id="0"/>
    </w:p>
    <w:p>
      <w:pPr>
        <w:pStyle w:val="5"/>
        <w:widowControl/>
        <w:spacing w:before="0" w:beforeAutospacing="0" w:after="0" w:afterAutospacing="0"/>
        <w:ind w:firstLine="600" w:firstLineChars="200"/>
        <w:rPr>
          <w:rFonts w:ascii="仿宋" w:hAnsi="仿宋" w:eastAsia="仿宋" w:cs="宋体"/>
          <w:sz w:val="28"/>
          <w:szCs w:val="32"/>
        </w:rPr>
      </w:pPr>
      <w:r>
        <w:rPr>
          <w:rFonts w:hint="eastAsia" w:ascii="仿宋" w:hAnsi="仿宋" w:eastAsia="仿宋" w:cs="宋体"/>
          <w:color w:val="000000"/>
          <w:sz w:val="28"/>
          <w:szCs w:val="32"/>
        </w:rPr>
        <w:t>时间安排：2019年3月上旬完成初赛；4月组织复赛；5月底前举行决赛。具体安排另行通知。</w:t>
      </w:r>
    </w:p>
    <w:p>
      <w:pPr>
        <w:widowControl/>
        <w:shd w:val="clear" w:color="auto" w:fill="FFFFFF"/>
        <w:spacing w:line="518" w:lineRule="atLeast"/>
        <w:ind w:firstLine="677"/>
        <w:jc w:val="left"/>
        <w:rPr>
          <w:rFonts w:ascii="黑体" w:hAnsi="黑体" w:eastAsia="黑体" w:cs="宋体"/>
          <w:kern w:val="0"/>
          <w:sz w:val="32"/>
          <w:szCs w:val="32"/>
        </w:rPr>
      </w:pPr>
      <w:bookmarkStart w:id="1" w:name="OLE_LINK10"/>
      <w:bookmarkStart w:id="2" w:name="OLE_LINK14"/>
      <w:bookmarkStart w:id="3" w:name="OLE_LINK13"/>
      <w:bookmarkStart w:id="4" w:name="OLE_LINK11"/>
      <w:bookmarkStart w:id="5" w:name="OLE_LINK12"/>
      <w:r>
        <w:rPr>
          <w:rFonts w:hint="eastAsia" w:ascii="黑体" w:hAnsi="黑体" w:eastAsia="黑体" w:cs="宋体"/>
          <w:kern w:val="0"/>
          <w:sz w:val="32"/>
          <w:szCs w:val="32"/>
        </w:rPr>
        <w:t>四、比赛奖励</w:t>
      </w:r>
    </w:p>
    <w:p>
      <w:pPr>
        <w:pStyle w:val="5"/>
        <w:widowControl/>
        <w:spacing w:before="0" w:beforeAutospacing="0" w:after="0" w:afterAutospacing="0"/>
        <w:ind w:firstLine="600" w:firstLineChars="200"/>
        <w:rPr>
          <w:rFonts w:ascii="仿宋" w:hAnsi="仿宋" w:eastAsia="仿宋" w:cs="宋体"/>
          <w:sz w:val="28"/>
          <w:szCs w:val="32"/>
        </w:rPr>
      </w:pPr>
      <w:r>
        <w:rPr>
          <w:rFonts w:hint="eastAsia" w:ascii="仿宋" w:hAnsi="仿宋" w:eastAsia="仿宋" w:cs="宋体"/>
          <w:color w:val="000000"/>
          <w:sz w:val="28"/>
          <w:szCs w:val="32"/>
        </w:rPr>
        <w:t>比赛设个人奖和单位组织奖。省教育厅、省教育工会对获奖选手和单位名单进行公布。</w:t>
      </w:r>
    </w:p>
    <w:p>
      <w:pPr>
        <w:widowControl/>
        <w:shd w:val="clear" w:color="auto" w:fill="FFFFFF"/>
        <w:spacing w:line="518" w:lineRule="atLeast"/>
        <w:ind w:firstLine="677"/>
        <w:jc w:val="left"/>
        <w:rPr>
          <w:rFonts w:ascii="楷体" w:hAnsi="楷体" w:eastAsia="楷体" w:cs="宋体"/>
          <w:kern w:val="0"/>
          <w:sz w:val="32"/>
          <w:szCs w:val="32"/>
        </w:rPr>
      </w:pPr>
      <w:r>
        <w:rPr>
          <w:rFonts w:hint="eastAsia" w:ascii="楷体" w:hAnsi="楷体" w:eastAsia="楷体" w:cs="宋体"/>
          <w:kern w:val="0"/>
          <w:sz w:val="32"/>
          <w:szCs w:val="32"/>
        </w:rPr>
        <w:t>（一）个人奖</w:t>
      </w:r>
    </w:p>
    <w:p>
      <w:pPr>
        <w:pStyle w:val="5"/>
        <w:widowControl/>
        <w:spacing w:before="0" w:beforeAutospacing="0" w:after="0" w:afterAutospacing="0"/>
        <w:ind w:firstLine="600" w:firstLineChars="200"/>
        <w:rPr>
          <w:rFonts w:ascii="仿宋" w:hAnsi="仿宋" w:eastAsia="仿宋" w:cs="宋体"/>
          <w:color w:val="000000"/>
          <w:sz w:val="28"/>
          <w:szCs w:val="32"/>
        </w:rPr>
      </w:pPr>
      <w:r>
        <w:rPr>
          <w:rFonts w:hint="eastAsia" w:ascii="仿宋" w:hAnsi="仿宋" w:eastAsia="仿宋" w:cs="宋体"/>
          <w:color w:val="000000"/>
          <w:sz w:val="28"/>
          <w:szCs w:val="32"/>
        </w:rPr>
        <w:t>比赛设一、二、三等奖及优秀奖，一、二、三等奖比例分别占省级初赛选手人数的10%、15%、20%，优秀奖若干。缺席复赛、决赛的选手，视为自动弃权，按上一阶段参赛成绩获得相应奖项。</w:t>
      </w:r>
    </w:p>
    <w:p>
      <w:pPr>
        <w:pStyle w:val="5"/>
        <w:widowControl/>
        <w:spacing w:before="0" w:beforeAutospacing="0" w:after="0" w:afterAutospacing="0"/>
        <w:ind w:firstLine="680" w:firstLineChars="200"/>
        <w:rPr>
          <w:rFonts w:ascii="楷体" w:hAnsi="楷体" w:eastAsia="楷体" w:cs="宋体"/>
          <w:sz w:val="32"/>
          <w:szCs w:val="32"/>
        </w:rPr>
      </w:pPr>
      <w:r>
        <w:rPr>
          <w:rFonts w:hint="eastAsia" w:ascii="楷体" w:hAnsi="楷体" w:eastAsia="楷体" w:cs="宋体"/>
          <w:sz w:val="32"/>
          <w:szCs w:val="32"/>
        </w:rPr>
        <w:t>（二）单位组织奖</w:t>
      </w:r>
    </w:p>
    <w:p>
      <w:pPr>
        <w:pStyle w:val="5"/>
        <w:widowControl/>
        <w:spacing w:before="0" w:beforeAutospacing="0" w:after="0" w:afterAutospacing="0"/>
        <w:ind w:firstLine="600" w:firstLineChars="200"/>
        <w:rPr>
          <w:rFonts w:ascii="仿宋" w:hAnsi="仿宋" w:eastAsia="仿宋" w:cs="宋体"/>
          <w:color w:val="000000"/>
          <w:sz w:val="28"/>
          <w:szCs w:val="32"/>
        </w:rPr>
      </w:pPr>
      <w:r>
        <w:rPr>
          <w:rFonts w:hint="eastAsia" w:ascii="仿宋" w:hAnsi="仿宋" w:eastAsia="仿宋" w:cs="宋体"/>
          <w:sz w:val="28"/>
          <w:szCs w:val="32"/>
        </w:rPr>
        <w:t>设25个优秀组织奖，评选办法见附件二。</w:t>
      </w:r>
    </w:p>
    <w:bookmarkEnd w:id="1"/>
    <w:bookmarkEnd w:id="2"/>
    <w:bookmarkEnd w:id="3"/>
    <w:bookmarkEnd w:id="4"/>
    <w:bookmarkEnd w:id="5"/>
    <w:p>
      <w:pPr>
        <w:widowControl/>
        <w:shd w:val="clear" w:color="auto" w:fill="FFFFFF"/>
        <w:spacing w:line="518" w:lineRule="atLeast"/>
        <w:ind w:firstLine="677"/>
        <w:jc w:val="left"/>
        <w:rPr>
          <w:rFonts w:ascii="黑体" w:hAnsi="黑体" w:eastAsia="黑体" w:cs="宋体"/>
          <w:kern w:val="0"/>
          <w:sz w:val="32"/>
          <w:szCs w:val="32"/>
        </w:rPr>
      </w:pPr>
      <w:r>
        <w:rPr>
          <w:rFonts w:hint="eastAsia" w:ascii="黑体" w:hAnsi="黑体" w:eastAsia="黑体" w:cs="宋体"/>
          <w:kern w:val="0"/>
          <w:sz w:val="32"/>
          <w:szCs w:val="32"/>
        </w:rPr>
        <w:t>五、有关要求</w:t>
      </w:r>
    </w:p>
    <w:p>
      <w:pPr>
        <w:pStyle w:val="5"/>
        <w:widowControl/>
        <w:spacing w:before="0" w:beforeAutospacing="0" w:after="0" w:afterAutospacing="0"/>
        <w:ind w:firstLine="600" w:firstLineChars="200"/>
        <w:rPr>
          <w:rFonts w:ascii="仿宋" w:hAnsi="仿宋" w:eastAsia="仿宋" w:cs="宋体"/>
          <w:color w:val="FF0000"/>
          <w:sz w:val="28"/>
          <w:szCs w:val="32"/>
        </w:rPr>
      </w:pPr>
      <w:r>
        <w:rPr>
          <w:rFonts w:hint="eastAsia" w:ascii="仿宋" w:hAnsi="仿宋" w:eastAsia="仿宋" w:cs="宋体"/>
          <w:color w:val="000000"/>
          <w:sz w:val="28"/>
          <w:szCs w:val="32"/>
        </w:rPr>
        <w:t>（一）各高校要高度重视青年教师教学比赛工作，切实把教学比赛作为提高青年教师业务能力和教学水平的重要抓手，精心组织好校内比赛，遴选出能够代表本校教师良好精神风貌和较高教学水平的选手参加比赛。要制定激励政策，激发广大青年教师参加比赛、投身教学的积极性，提高课堂教学能力，促进专业发展，推动教育教学水平不断提升。</w:t>
      </w:r>
      <w:r>
        <w:rPr>
          <w:rFonts w:hint="eastAsia" w:ascii="仿宋" w:hAnsi="仿宋" w:eastAsia="仿宋" w:cs="宋体"/>
          <w:color w:val="FF0000"/>
          <w:sz w:val="28"/>
          <w:szCs w:val="32"/>
        </w:rPr>
        <w:t>要保证正常教学秩序，确保日常教学工作正常开展。</w:t>
      </w:r>
    </w:p>
    <w:p>
      <w:pPr>
        <w:pStyle w:val="5"/>
        <w:widowControl/>
        <w:spacing w:before="0" w:beforeAutospacing="0" w:after="0" w:afterAutospacing="0"/>
        <w:ind w:firstLine="600" w:firstLineChars="200"/>
        <w:jc w:val="both"/>
        <w:rPr>
          <w:rFonts w:ascii="仿宋" w:hAnsi="仿宋" w:eastAsia="仿宋" w:cs="宋体"/>
          <w:color w:val="000000"/>
          <w:sz w:val="28"/>
          <w:szCs w:val="32"/>
        </w:rPr>
      </w:pPr>
      <w:r>
        <w:rPr>
          <w:rFonts w:hint="eastAsia" w:ascii="仿宋" w:hAnsi="仿宋" w:eastAsia="仿宋" w:cs="宋体"/>
          <w:color w:val="000000"/>
          <w:sz w:val="28"/>
          <w:szCs w:val="32"/>
        </w:rPr>
        <w:t>（二）本次比赛由省教育厅、中国教育工会山东省委员会主办，山东省高等学校师资培训中心承办，委托相关高校举办复赛、决赛。各相关高校需高度重视，明确专门机构和工作人员具体负责比赛组织工作，确保比赛顺利进行。</w:t>
      </w:r>
    </w:p>
    <w:p>
      <w:pPr>
        <w:pStyle w:val="5"/>
        <w:widowControl/>
        <w:spacing w:before="0" w:beforeAutospacing="0" w:after="0" w:afterAutospacing="0"/>
        <w:ind w:firstLine="600" w:firstLineChars="200"/>
        <w:jc w:val="both"/>
        <w:rPr>
          <w:rFonts w:ascii="仿宋" w:hAnsi="仿宋" w:eastAsia="仿宋" w:cs="宋体"/>
          <w:color w:val="000000"/>
          <w:sz w:val="28"/>
          <w:szCs w:val="32"/>
        </w:rPr>
      </w:pPr>
      <w:r>
        <w:rPr>
          <w:rFonts w:hint="eastAsia" w:ascii="仿宋" w:hAnsi="仿宋" w:eastAsia="仿宋" w:cs="宋体"/>
          <w:color w:val="000000"/>
          <w:sz w:val="28"/>
          <w:szCs w:val="32"/>
        </w:rPr>
        <w:t>（三）2018年1</w:t>
      </w:r>
      <w:r>
        <w:rPr>
          <w:rFonts w:ascii="仿宋" w:hAnsi="仿宋" w:eastAsia="仿宋" w:cs="宋体"/>
          <w:color w:val="000000"/>
          <w:sz w:val="28"/>
          <w:szCs w:val="32"/>
        </w:rPr>
        <w:t>2</w:t>
      </w:r>
      <w:r>
        <w:rPr>
          <w:rFonts w:hint="eastAsia" w:ascii="仿宋" w:hAnsi="仿宋" w:eastAsia="仿宋" w:cs="宋体"/>
          <w:color w:val="000000"/>
          <w:sz w:val="28"/>
          <w:szCs w:val="32"/>
        </w:rPr>
        <w:t>月10日前，各高校确定参加省级比赛的选手，选手在</w:t>
      </w:r>
      <w:r>
        <w:rPr>
          <w:rFonts w:hint="eastAsia" w:ascii="仿宋" w:hAnsi="仿宋" w:eastAsia="仿宋" w:cs="仿宋"/>
          <w:sz w:val="28"/>
          <w:szCs w:val="28"/>
        </w:rPr>
        <w:t>山东省高校教师教学比赛评审平台（以下简称“比赛评审平台”）</w:t>
      </w:r>
      <w:r>
        <w:rPr>
          <w:rFonts w:hint="eastAsia" w:ascii="仿宋" w:hAnsi="仿宋" w:eastAsia="仿宋" w:cs="宋体"/>
          <w:color w:val="000000"/>
          <w:sz w:val="28"/>
          <w:szCs w:val="32"/>
        </w:rPr>
        <w:t>进行注册并上传教学视频；各高校确定1名工作人员在比赛评审平台注册学校管理员账号，负责审核选手的教学视频、下载打印推荐选手汇总表、填写相关信息，并将加盖学校公章的扫描件上传至比赛评审平台。已有账号的选手、学校管理员无需重新注册。过期未上传教学视频或未审核者视为自动放弃。</w:t>
      </w:r>
    </w:p>
    <w:p>
      <w:pPr>
        <w:pStyle w:val="5"/>
        <w:widowControl/>
        <w:spacing w:before="0" w:beforeAutospacing="0" w:after="0" w:afterAutospacing="0"/>
        <w:ind w:firstLine="600" w:firstLineChars="200"/>
        <w:jc w:val="both"/>
        <w:rPr>
          <w:rFonts w:ascii="仿宋" w:hAnsi="仿宋" w:eastAsia="仿宋" w:cs="宋体"/>
          <w:color w:val="000000"/>
          <w:sz w:val="28"/>
          <w:szCs w:val="32"/>
        </w:rPr>
      </w:pPr>
    </w:p>
    <w:p>
      <w:pPr>
        <w:spacing w:after="292" w:afterLines="50"/>
        <w:jc w:val="center"/>
        <w:rPr>
          <w:rFonts w:ascii="黑体" w:hAnsi="黑体" w:eastAsia="黑体"/>
          <w:color w:val="000000"/>
          <w:sz w:val="40"/>
          <w:szCs w:val="32"/>
        </w:rPr>
      </w:pPr>
      <w:r>
        <w:rPr>
          <w:rFonts w:hint="eastAsia" w:ascii="黑体" w:hAnsi="黑体" w:eastAsia="黑体"/>
          <w:color w:val="000000"/>
          <w:sz w:val="40"/>
          <w:szCs w:val="32"/>
        </w:rPr>
        <w:t xml:space="preserve">第二部分 </w:t>
      </w:r>
      <w:r>
        <w:rPr>
          <w:rFonts w:ascii="黑体" w:hAnsi="黑体" w:eastAsia="黑体"/>
          <w:color w:val="000000"/>
          <w:sz w:val="40"/>
          <w:szCs w:val="32"/>
        </w:rPr>
        <w:t xml:space="preserve"> </w:t>
      </w:r>
      <w:r>
        <w:rPr>
          <w:rFonts w:hint="eastAsia" w:ascii="黑体" w:hAnsi="黑体" w:eastAsia="黑体"/>
          <w:color w:val="000000"/>
          <w:sz w:val="40"/>
          <w:szCs w:val="32"/>
        </w:rPr>
        <w:t>高校教师信息化教学比赛</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为贯彻落实《山东省中长期教育改革和发展规划纲要（2011—2020年）》的精神，推进信息技术与其他学科教学的整合与融合，加快信息技术教师队伍和</w:t>
      </w:r>
      <w:r>
        <w:rPr>
          <w:rFonts w:hint="eastAsia" w:ascii="仿宋" w:hAnsi="仿宋" w:eastAsia="仿宋" w:cs="仿宋"/>
          <w:b/>
          <w:kern w:val="0"/>
          <w:sz w:val="28"/>
          <w:szCs w:val="28"/>
        </w:rPr>
        <w:t>课程建设</w:t>
      </w:r>
      <w:r>
        <w:rPr>
          <w:rFonts w:hint="eastAsia" w:ascii="仿宋" w:hAnsi="仿宋" w:eastAsia="仿宋" w:cs="仿宋"/>
          <w:kern w:val="0"/>
          <w:sz w:val="28"/>
          <w:szCs w:val="28"/>
        </w:rPr>
        <w:t>，进一步实现信息技术的学习应用与教育观念有机结合，全面提高教师和学生运用信息技术的能力，经研究决定举办2018年度山东省高校教师信息化教学比赛。</w:t>
      </w:r>
    </w:p>
    <w:p>
      <w:pPr>
        <w:widowControl/>
        <w:shd w:val="clear" w:color="auto" w:fill="FFFFFF"/>
        <w:spacing w:line="518" w:lineRule="atLeast"/>
        <w:ind w:firstLine="677"/>
        <w:jc w:val="left"/>
        <w:rPr>
          <w:rFonts w:ascii="黑体" w:hAnsi="黑体" w:eastAsia="黑体" w:cs="宋体"/>
          <w:kern w:val="0"/>
          <w:sz w:val="32"/>
          <w:szCs w:val="32"/>
        </w:rPr>
      </w:pPr>
      <w:r>
        <w:rPr>
          <w:rFonts w:hint="eastAsia" w:ascii="黑体" w:hAnsi="黑体" w:eastAsia="黑体" w:cs="宋体"/>
          <w:kern w:val="0"/>
          <w:sz w:val="32"/>
          <w:szCs w:val="32"/>
        </w:rPr>
        <w:t>一、赛事组织</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比赛分为初赛、复赛、决赛三个阶段，初赛由各院校组织，复赛、决赛由山东省高等学校师资培训中心组织。</w:t>
      </w:r>
    </w:p>
    <w:p>
      <w:pPr>
        <w:widowControl/>
        <w:shd w:val="clear" w:color="auto" w:fill="FFFFFF"/>
        <w:spacing w:line="518" w:lineRule="atLeast"/>
        <w:ind w:firstLine="677"/>
        <w:jc w:val="left"/>
        <w:rPr>
          <w:rFonts w:ascii="黑体" w:hAnsi="黑体" w:eastAsia="黑体" w:cs="宋体"/>
          <w:kern w:val="0"/>
          <w:sz w:val="32"/>
          <w:szCs w:val="32"/>
        </w:rPr>
      </w:pPr>
      <w:r>
        <w:rPr>
          <w:rFonts w:hint="eastAsia" w:ascii="黑体" w:hAnsi="黑体" w:eastAsia="黑体" w:cs="宋体"/>
          <w:kern w:val="0"/>
          <w:sz w:val="32"/>
          <w:szCs w:val="32"/>
        </w:rPr>
        <w:t>二、参赛对象</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省内普通高校取得高等学校教师资格证并从事教育教学工作，实行限额推荐，每位参赛教师及教学团队（3人以内，含团队负责人）提交参赛作品数量限为1，每所高校限报6件参赛作品。参加本届青年教师教学比赛的选手不得重复报名。</w:t>
      </w:r>
    </w:p>
    <w:p>
      <w:pPr>
        <w:widowControl/>
        <w:shd w:val="clear" w:color="auto" w:fill="FFFFFF"/>
        <w:spacing w:line="518" w:lineRule="atLeast"/>
        <w:ind w:firstLine="677"/>
        <w:jc w:val="left"/>
        <w:rPr>
          <w:rFonts w:ascii="黑体" w:hAnsi="黑体" w:eastAsia="黑体" w:cs="宋体"/>
          <w:kern w:val="0"/>
          <w:sz w:val="32"/>
          <w:szCs w:val="32"/>
        </w:rPr>
      </w:pPr>
      <w:r>
        <w:rPr>
          <w:rFonts w:hint="eastAsia" w:ascii="黑体" w:hAnsi="黑体" w:eastAsia="黑体" w:cs="宋体"/>
          <w:kern w:val="0"/>
          <w:sz w:val="32"/>
          <w:szCs w:val="32"/>
        </w:rPr>
        <w:t>三、比赛流程</w:t>
      </w:r>
    </w:p>
    <w:p>
      <w:pPr>
        <w:ind w:firstLine="680" w:firstLineChars="200"/>
        <w:rPr>
          <w:rFonts w:ascii="楷体" w:hAnsi="楷体" w:eastAsia="楷体" w:cs="宋体"/>
          <w:kern w:val="0"/>
          <w:sz w:val="32"/>
          <w:szCs w:val="32"/>
        </w:rPr>
      </w:pPr>
      <w:r>
        <w:rPr>
          <w:rFonts w:hint="eastAsia" w:ascii="楷体" w:hAnsi="楷体" w:eastAsia="楷体" w:cs="宋体"/>
          <w:kern w:val="0"/>
          <w:sz w:val="32"/>
          <w:szCs w:val="32"/>
        </w:rPr>
        <w:t>（一）初赛</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各院校自行确定参赛人选或团队名单，201</w:t>
      </w:r>
      <w:r>
        <w:rPr>
          <w:rFonts w:ascii="仿宋" w:hAnsi="仿宋" w:eastAsia="仿宋" w:cs="仿宋"/>
          <w:kern w:val="0"/>
          <w:sz w:val="28"/>
          <w:szCs w:val="28"/>
        </w:rPr>
        <w:t>9</w:t>
      </w:r>
      <w:r>
        <w:rPr>
          <w:rFonts w:hint="eastAsia" w:ascii="仿宋" w:hAnsi="仿宋" w:eastAsia="仿宋" w:cs="仿宋"/>
          <w:kern w:val="0"/>
          <w:sz w:val="28"/>
          <w:szCs w:val="28"/>
        </w:rPr>
        <w:t>年</w:t>
      </w:r>
      <w:r>
        <w:rPr>
          <w:rFonts w:ascii="仿宋" w:hAnsi="仿宋" w:eastAsia="仿宋" w:cs="仿宋"/>
          <w:kern w:val="0"/>
          <w:sz w:val="28"/>
          <w:szCs w:val="28"/>
        </w:rPr>
        <w:t>1</w:t>
      </w:r>
      <w:r>
        <w:rPr>
          <w:rFonts w:hint="eastAsia" w:ascii="仿宋" w:hAnsi="仿宋" w:eastAsia="仿宋" w:cs="仿宋"/>
          <w:kern w:val="0"/>
          <w:sz w:val="28"/>
          <w:szCs w:val="28"/>
        </w:rPr>
        <w:t>月完成上报。鼓励各院校为参赛教师或团队匹配资金、资源开展复赛准备。</w:t>
      </w:r>
    </w:p>
    <w:p>
      <w:pPr>
        <w:ind w:firstLine="680" w:firstLineChars="200"/>
        <w:rPr>
          <w:rFonts w:ascii="楷体" w:hAnsi="楷体" w:eastAsia="楷体" w:cs="宋体"/>
          <w:kern w:val="0"/>
          <w:sz w:val="32"/>
          <w:szCs w:val="32"/>
        </w:rPr>
      </w:pPr>
      <w:r>
        <w:rPr>
          <w:rFonts w:hint="eastAsia" w:ascii="楷体" w:hAnsi="楷体" w:eastAsia="楷体" w:cs="宋体"/>
          <w:kern w:val="0"/>
          <w:sz w:val="32"/>
          <w:szCs w:val="32"/>
        </w:rPr>
        <w:t>（二）复赛</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复赛采用网上评审</w:t>
      </w:r>
      <w:bookmarkStart w:id="6" w:name="_Hlk521055304"/>
      <w:r>
        <w:rPr>
          <w:rFonts w:hint="eastAsia" w:ascii="仿宋" w:hAnsi="仿宋" w:eastAsia="仿宋" w:cs="仿宋"/>
          <w:b/>
          <w:kern w:val="0"/>
          <w:sz w:val="28"/>
          <w:szCs w:val="28"/>
        </w:rPr>
        <w:t>信息化课堂教学</w:t>
      </w:r>
      <w:r>
        <w:rPr>
          <w:rFonts w:hint="eastAsia" w:ascii="仿宋" w:hAnsi="仿宋" w:eastAsia="仿宋" w:cs="仿宋"/>
          <w:kern w:val="0"/>
          <w:sz w:val="28"/>
          <w:szCs w:val="28"/>
        </w:rPr>
        <w:t>视频</w:t>
      </w:r>
      <w:bookmarkEnd w:id="6"/>
      <w:r>
        <w:rPr>
          <w:rFonts w:hint="eastAsia" w:ascii="仿宋" w:hAnsi="仿宋" w:eastAsia="仿宋" w:cs="仿宋"/>
          <w:kern w:val="0"/>
          <w:sz w:val="28"/>
          <w:szCs w:val="28"/>
        </w:rPr>
        <w:t>的方式进行。重点考察教师依据信息化教学设计，实施课堂教学，达成教学目标的能力。教师应根据教学内容和教学对象的特点，合理选用信息技术、数字资源和信息化教学设施，创设学习的情境，并根据实际教学情况及时调整、优化教与学的过程。评审专家从教学设计、教学实施、教学效果、特色创新等方面对选手进行量化评价。</w:t>
      </w:r>
      <w:bookmarkStart w:id="7" w:name="_Hlk521058376"/>
      <w:r>
        <w:rPr>
          <w:rFonts w:hint="eastAsia" w:ascii="仿宋" w:hAnsi="仿宋" w:eastAsia="仿宋" w:cs="仿宋"/>
          <w:kern w:val="0"/>
          <w:sz w:val="28"/>
          <w:szCs w:val="28"/>
        </w:rPr>
        <w:t>复赛产生参加决赛的选手及三等奖、优秀奖获得者。</w:t>
      </w:r>
    </w:p>
    <w:bookmarkEnd w:id="7"/>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时间安排</w:t>
      </w:r>
      <w:r>
        <w:rPr>
          <w:rFonts w:ascii="仿宋" w:hAnsi="仿宋" w:eastAsia="仿宋" w:cs="仿宋"/>
          <w:kern w:val="0"/>
          <w:sz w:val="28"/>
          <w:szCs w:val="28"/>
        </w:rPr>
        <w:t>：</w:t>
      </w:r>
      <w:r>
        <w:rPr>
          <w:rFonts w:hint="eastAsia" w:ascii="仿宋" w:hAnsi="仿宋" w:eastAsia="仿宋" w:cs="仿宋"/>
          <w:kern w:val="0"/>
          <w:sz w:val="28"/>
          <w:szCs w:val="28"/>
        </w:rPr>
        <w:t>201</w:t>
      </w:r>
      <w:r>
        <w:rPr>
          <w:rFonts w:ascii="仿宋" w:hAnsi="仿宋" w:eastAsia="仿宋" w:cs="仿宋"/>
          <w:kern w:val="0"/>
          <w:sz w:val="28"/>
          <w:szCs w:val="28"/>
        </w:rPr>
        <w:t>9</w:t>
      </w:r>
      <w:r>
        <w:rPr>
          <w:rFonts w:hint="eastAsia" w:ascii="仿宋" w:hAnsi="仿宋" w:eastAsia="仿宋" w:cs="仿宋"/>
          <w:kern w:val="0"/>
          <w:sz w:val="28"/>
          <w:szCs w:val="28"/>
        </w:rPr>
        <w:t>年</w:t>
      </w:r>
      <w:r>
        <w:rPr>
          <w:rFonts w:ascii="仿宋" w:hAnsi="仿宋" w:eastAsia="仿宋" w:cs="仿宋"/>
          <w:kern w:val="0"/>
          <w:sz w:val="28"/>
          <w:szCs w:val="28"/>
        </w:rPr>
        <w:t>5</w:t>
      </w:r>
      <w:r>
        <w:rPr>
          <w:rFonts w:hint="eastAsia" w:ascii="仿宋" w:hAnsi="仿宋" w:eastAsia="仿宋" w:cs="仿宋"/>
          <w:kern w:val="0"/>
          <w:sz w:val="28"/>
          <w:szCs w:val="28"/>
        </w:rPr>
        <w:t>月完成复赛。</w:t>
      </w:r>
    </w:p>
    <w:p>
      <w:pPr>
        <w:ind w:firstLine="680" w:firstLineChars="200"/>
        <w:rPr>
          <w:rFonts w:ascii="楷体" w:hAnsi="楷体" w:eastAsia="楷体" w:cs="宋体"/>
          <w:kern w:val="0"/>
          <w:sz w:val="32"/>
          <w:szCs w:val="32"/>
        </w:rPr>
      </w:pPr>
      <w:r>
        <w:rPr>
          <w:rFonts w:hint="eastAsia" w:ascii="楷体" w:hAnsi="楷体" w:eastAsia="楷体" w:cs="宋体"/>
          <w:kern w:val="0"/>
          <w:sz w:val="32"/>
          <w:szCs w:val="32"/>
        </w:rPr>
        <w:t>（三）决赛</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复赛采取</w:t>
      </w:r>
      <w:r>
        <w:rPr>
          <w:rFonts w:hint="eastAsia" w:ascii="仿宋" w:hAnsi="仿宋" w:eastAsia="仿宋" w:cs="仿宋"/>
          <w:b/>
          <w:kern w:val="0"/>
          <w:sz w:val="28"/>
          <w:szCs w:val="28"/>
        </w:rPr>
        <w:t>信息化教学设计</w:t>
      </w:r>
      <w:r>
        <w:rPr>
          <w:rFonts w:hint="eastAsia" w:ascii="仿宋" w:hAnsi="仿宋" w:eastAsia="仿宋" w:cs="仿宋"/>
          <w:kern w:val="0"/>
          <w:sz w:val="28"/>
          <w:szCs w:val="28"/>
        </w:rPr>
        <w:t>现场说课的方式进行。重点考察教师合理、充分运用信息技术、数字资源和信息化教学环境，解决教学难点，突出教学重点，系统优化教学过程，完成教学任务的能力。教学设计应基于教师对现代教育思想和教学理念的准确理解与运用，遵循高校学生认知规律，科学、合理安排教学过程的各个环节和要素，在教师角色、教学内容、教学方法、互动方式、考核与评价等方面有所创新，在实际教学中应用效果突出。评审专家从总体设计、教学过程、教学效果、特色创新等方面对选手进行量化评价。决赛产生一、二等奖获得者。</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时间安排</w:t>
      </w:r>
      <w:r>
        <w:rPr>
          <w:rFonts w:ascii="仿宋" w:hAnsi="仿宋" w:eastAsia="仿宋" w:cs="仿宋"/>
          <w:kern w:val="0"/>
          <w:sz w:val="28"/>
          <w:szCs w:val="28"/>
        </w:rPr>
        <w:t>：</w:t>
      </w:r>
      <w:r>
        <w:rPr>
          <w:rFonts w:hint="eastAsia" w:ascii="仿宋" w:hAnsi="仿宋" w:eastAsia="仿宋" w:cs="仿宋"/>
          <w:kern w:val="0"/>
          <w:sz w:val="28"/>
          <w:szCs w:val="28"/>
        </w:rPr>
        <w:t>201</w:t>
      </w:r>
      <w:r>
        <w:rPr>
          <w:rFonts w:ascii="仿宋" w:hAnsi="仿宋" w:eastAsia="仿宋" w:cs="仿宋"/>
          <w:kern w:val="0"/>
          <w:sz w:val="28"/>
          <w:szCs w:val="28"/>
        </w:rPr>
        <w:t>9</w:t>
      </w:r>
      <w:r>
        <w:rPr>
          <w:rFonts w:hint="eastAsia" w:ascii="仿宋" w:hAnsi="仿宋" w:eastAsia="仿宋" w:cs="仿宋"/>
          <w:kern w:val="0"/>
          <w:sz w:val="28"/>
          <w:szCs w:val="28"/>
        </w:rPr>
        <w:t>年</w:t>
      </w:r>
      <w:r>
        <w:rPr>
          <w:rFonts w:ascii="仿宋" w:hAnsi="仿宋" w:eastAsia="仿宋" w:cs="仿宋"/>
          <w:kern w:val="0"/>
          <w:sz w:val="28"/>
          <w:szCs w:val="28"/>
        </w:rPr>
        <w:t>6</w:t>
      </w:r>
      <w:r>
        <w:rPr>
          <w:rFonts w:hint="eastAsia" w:ascii="仿宋" w:hAnsi="仿宋" w:eastAsia="仿宋" w:cs="仿宋"/>
          <w:kern w:val="0"/>
          <w:sz w:val="28"/>
          <w:szCs w:val="28"/>
        </w:rPr>
        <w:t>月完成决赛。</w:t>
      </w:r>
    </w:p>
    <w:p>
      <w:pPr>
        <w:widowControl/>
        <w:shd w:val="clear" w:color="auto" w:fill="FFFFFF"/>
        <w:spacing w:line="518" w:lineRule="atLeast"/>
        <w:ind w:firstLine="677"/>
        <w:jc w:val="left"/>
        <w:rPr>
          <w:rFonts w:ascii="黑体" w:hAnsi="黑体" w:eastAsia="黑体" w:cs="宋体"/>
          <w:kern w:val="0"/>
          <w:sz w:val="32"/>
          <w:szCs w:val="32"/>
        </w:rPr>
      </w:pPr>
      <w:r>
        <w:rPr>
          <w:rFonts w:hint="eastAsia" w:ascii="黑体" w:hAnsi="黑体" w:eastAsia="黑体" w:cs="宋体"/>
          <w:kern w:val="0"/>
          <w:sz w:val="32"/>
          <w:szCs w:val="32"/>
        </w:rPr>
        <w:t>四、比赛分组</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复赛、决赛设本科组、高职组、外语组、思政组四个组别。其中外语组赛事分本科英语组、高职高专英语组、小语种组三个组别；思政组赛事分本科思政组、高职高专思政组两个组别。各小组参赛作品数不足10个的相近组别合并进行，必要时本科、高职合并进行。</w:t>
      </w:r>
    </w:p>
    <w:p>
      <w:pPr>
        <w:widowControl/>
        <w:shd w:val="clear" w:color="auto" w:fill="FFFFFF"/>
        <w:spacing w:line="518" w:lineRule="atLeast"/>
        <w:ind w:firstLine="677"/>
        <w:jc w:val="left"/>
        <w:rPr>
          <w:rFonts w:ascii="黑体" w:hAnsi="黑体" w:eastAsia="黑体" w:cs="宋体"/>
          <w:kern w:val="0"/>
          <w:sz w:val="32"/>
          <w:szCs w:val="32"/>
        </w:rPr>
      </w:pPr>
      <w:r>
        <w:rPr>
          <w:rFonts w:hint="eastAsia" w:ascii="黑体" w:hAnsi="黑体" w:eastAsia="黑体" w:cs="宋体"/>
          <w:kern w:val="0"/>
          <w:sz w:val="32"/>
          <w:szCs w:val="32"/>
        </w:rPr>
        <w:t>五、参赛内容及作品要求</w:t>
      </w:r>
    </w:p>
    <w:p>
      <w:pPr>
        <w:ind w:firstLine="680" w:firstLineChars="200"/>
        <w:rPr>
          <w:rFonts w:ascii="楷体" w:hAnsi="楷体" w:eastAsia="楷体" w:cs="宋体"/>
          <w:kern w:val="0"/>
          <w:sz w:val="32"/>
          <w:szCs w:val="32"/>
        </w:rPr>
      </w:pPr>
      <w:r>
        <w:rPr>
          <w:rFonts w:hint="eastAsia" w:ascii="楷体" w:hAnsi="楷体" w:eastAsia="楷体" w:cs="宋体"/>
          <w:kern w:val="0"/>
          <w:sz w:val="32"/>
          <w:szCs w:val="32"/>
        </w:rPr>
        <w:t>（一）参赛内容</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1.复赛</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按照《</w:t>
      </w:r>
      <w:r>
        <w:rPr>
          <w:rFonts w:hint="eastAsia" w:ascii="仿宋" w:hAnsi="仿宋" w:eastAsia="仿宋" w:cs="仿宋"/>
          <w:b/>
          <w:kern w:val="0"/>
          <w:sz w:val="28"/>
          <w:szCs w:val="28"/>
        </w:rPr>
        <w:t>山东省青年教师教学比赛实施方案</w:t>
      </w:r>
      <w:r>
        <w:rPr>
          <w:rFonts w:hint="eastAsia" w:ascii="仿宋" w:hAnsi="仿宋" w:eastAsia="仿宋" w:cs="仿宋"/>
          <w:kern w:val="0"/>
          <w:sz w:val="28"/>
          <w:szCs w:val="28"/>
        </w:rPr>
        <w:t>》要求，选手选取2</w:t>
      </w:r>
      <w:r>
        <w:rPr>
          <w:rFonts w:ascii="仿宋" w:hAnsi="仿宋" w:eastAsia="仿宋" w:cs="仿宋"/>
          <w:kern w:val="0"/>
          <w:sz w:val="28"/>
          <w:szCs w:val="28"/>
        </w:rPr>
        <w:t>0</w:t>
      </w:r>
      <w:r>
        <w:rPr>
          <w:rFonts w:hint="eastAsia" w:ascii="仿宋" w:hAnsi="仿宋" w:eastAsia="仿宋" w:cs="仿宋"/>
          <w:kern w:val="0"/>
          <w:sz w:val="28"/>
          <w:szCs w:val="28"/>
        </w:rPr>
        <w:t>个教学节段，每个节段配合3种材料：教学视频、教学课件（演示文稿）和教学设计（教案）文稿，并将最终作品上传比赛评审系统。</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所选教学节段的教学内容应相对独立、完整，可以是一节完整的教学内容，也可以是某个知识点或者技能点的教学（训练）内容，可以是</w:t>
      </w:r>
      <w:r>
        <w:rPr>
          <w:rFonts w:ascii="仿宋" w:hAnsi="仿宋" w:eastAsia="仿宋" w:cs="仿宋"/>
          <w:kern w:val="0"/>
          <w:sz w:val="28"/>
          <w:szCs w:val="28"/>
        </w:rPr>
        <w:t>教学实录视频，</w:t>
      </w:r>
      <w:r>
        <w:rPr>
          <w:rFonts w:hint="eastAsia" w:ascii="仿宋" w:hAnsi="仿宋" w:eastAsia="仿宋" w:cs="仿宋"/>
          <w:kern w:val="0"/>
          <w:sz w:val="28"/>
          <w:szCs w:val="28"/>
        </w:rPr>
        <w:t>也可以是其他工具或软件制作的视频资源。视频时长严格控制在20-25分钟。</w:t>
      </w:r>
      <w:r>
        <w:rPr>
          <w:rFonts w:ascii="仿宋" w:hAnsi="仿宋" w:eastAsia="仿宋" w:cs="仿宋"/>
          <w:kern w:val="0"/>
          <w:sz w:val="28"/>
          <w:szCs w:val="28"/>
        </w:rPr>
        <w:t>教学</w:t>
      </w:r>
      <w:r>
        <w:rPr>
          <w:rFonts w:hint="eastAsia" w:ascii="仿宋" w:hAnsi="仿宋" w:eastAsia="仿宋" w:cs="仿宋"/>
          <w:kern w:val="0"/>
          <w:sz w:val="28"/>
          <w:szCs w:val="28"/>
        </w:rPr>
        <w:t>设计</w:t>
      </w:r>
      <w:r>
        <w:rPr>
          <w:rFonts w:ascii="仿宋" w:hAnsi="仿宋" w:eastAsia="仿宋" w:cs="仿宋"/>
          <w:kern w:val="0"/>
          <w:sz w:val="28"/>
          <w:szCs w:val="28"/>
        </w:rPr>
        <w:t>和教学课件要</w:t>
      </w:r>
      <w:r>
        <w:rPr>
          <w:rFonts w:hint="eastAsia" w:ascii="仿宋" w:hAnsi="仿宋" w:eastAsia="仿宋" w:cs="仿宋"/>
          <w:kern w:val="0"/>
          <w:sz w:val="28"/>
          <w:szCs w:val="28"/>
        </w:rPr>
        <w:t>与</w:t>
      </w:r>
      <w:r>
        <w:rPr>
          <w:rFonts w:ascii="仿宋" w:hAnsi="仿宋" w:eastAsia="仿宋" w:cs="仿宋"/>
          <w:kern w:val="0"/>
          <w:sz w:val="28"/>
          <w:szCs w:val="28"/>
        </w:rPr>
        <w:t>提交的</w:t>
      </w:r>
      <w:r>
        <w:rPr>
          <w:rFonts w:hint="eastAsia" w:ascii="仿宋" w:hAnsi="仿宋" w:eastAsia="仿宋" w:cs="仿宋"/>
          <w:kern w:val="0"/>
          <w:sz w:val="28"/>
          <w:szCs w:val="28"/>
        </w:rPr>
        <w:t>教学</w:t>
      </w:r>
      <w:r>
        <w:rPr>
          <w:rFonts w:ascii="仿宋" w:hAnsi="仿宋" w:eastAsia="仿宋" w:cs="仿宋"/>
          <w:kern w:val="0"/>
          <w:sz w:val="28"/>
          <w:szCs w:val="28"/>
        </w:rPr>
        <w:t>视频</w:t>
      </w:r>
      <w:r>
        <w:rPr>
          <w:rFonts w:hint="eastAsia" w:ascii="仿宋" w:hAnsi="仿宋" w:eastAsia="仿宋" w:cs="仿宋"/>
          <w:kern w:val="0"/>
          <w:sz w:val="28"/>
          <w:szCs w:val="28"/>
        </w:rPr>
        <w:t>一一</w:t>
      </w:r>
      <w:r>
        <w:rPr>
          <w:rFonts w:ascii="仿宋" w:hAnsi="仿宋" w:eastAsia="仿宋" w:cs="仿宋"/>
          <w:kern w:val="0"/>
          <w:sz w:val="28"/>
          <w:szCs w:val="28"/>
        </w:rPr>
        <w:t>对应。</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2.决赛</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从选手上传的20个教学</w:t>
      </w:r>
      <w:r>
        <w:rPr>
          <w:rFonts w:ascii="仿宋" w:hAnsi="仿宋" w:eastAsia="仿宋" w:cs="仿宋"/>
          <w:kern w:val="0"/>
          <w:sz w:val="28"/>
          <w:szCs w:val="28"/>
        </w:rPr>
        <w:t>视频</w:t>
      </w:r>
      <w:r>
        <w:rPr>
          <w:rFonts w:hint="eastAsia" w:ascii="仿宋" w:hAnsi="仿宋" w:eastAsia="仿宋" w:cs="仿宋"/>
          <w:kern w:val="0"/>
          <w:sz w:val="28"/>
          <w:szCs w:val="28"/>
        </w:rPr>
        <w:t>节段中随机抽取一个进行现场说课，主要围绕</w:t>
      </w:r>
      <w:r>
        <w:rPr>
          <w:rFonts w:ascii="仿宋" w:hAnsi="仿宋" w:eastAsia="仿宋" w:cs="仿宋"/>
          <w:kern w:val="0"/>
          <w:sz w:val="28"/>
          <w:szCs w:val="28"/>
        </w:rPr>
        <w:t>教学对象、教学</w:t>
      </w:r>
      <w:r>
        <w:rPr>
          <w:rFonts w:hint="eastAsia" w:ascii="仿宋" w:hAnsi="仿宋" w:eastAsia="仿宋" w:cs="仿宋"/>
          <w:kern w:val="0"/>
          <w:sz w:val="28"/>
          <w:szCs w:val="28"/>
        </w:rPr>
        <w:t>内容、</w:t>
      </w:r>
      <w:r>
        <w:rPr>
          <w:rFonts w:ascii="仿宋" w:hAnsi="仿宋" w:eastAsia="仿宋" w:cs="仿宋"/>
          <w:kern w:val="0"/>
          <w:sz w:val="28"/>
          <w:szCs w:val="28"/>
        </w:rPr>
        <w:t>教学目标、</w:t>
      </w:r>
      <w:r>
        <w:rPr>
          <w:rFonts w:hint="eastAsia" w:ascii="仿宋" w:hAnsi="仿宋" w:eastAsia="仿宋" w:cs="仿宋"/>
          <w:kern w:val="0"/>
          <w:sz w:val="28"/>
          <w:szCs w:val="28"/>
        </w:rPr>
        <w:t>教学策略、教学过程</w:t>
      </w:r>
      <w:r>
        <w:rPr>
          <w:rFonts w:ascii="仿宋" w:hAnsi="仿宋" w:eastAsia="仿宋" w:cs="仿宋"/>
          <w:kern w:val="0"/>
          <w:sz w:val="28"/>
          <w:szCs w:val="28"/>
        </w:rPr>
        <w:t>和教学评价</w:t>
      </w:r>
      <w:r>
        <w:rPr>
          <w:rFonts w:hint="eastAsia" w:ascii="仿宋" w:hAnsi="仿宋" w:eastAsia="仿宋" w:cs="仿宋"/>
          <w:kern w:val="0"/>
          <w:sz w:val="28"/>
          <w:szCs w:val="28"/>
        </w:rPr>
        <w:t>展开，突出信息化教学手段的应用，着重阐述信息技术在学科</w:t>
      </w:r>
      <w:r>
        <w:rPr>
          <w:rFonts w:ascii="仿宋" w:hAnsi="仿宋" w:eastAsia="仿宋" w:cs="仿宋"/>
          <w:kern w:val="0"/>
          <w:sz w:val="28"/>
          <w:szCs w:val="28"/>
        </w:rPr>
        <w:t>教学中</w:t>
      </w:r>
      <w:r>
        <w:rPr>
          <w:rFonts w:hint="eastAsia" w:ascii="仿宋" w:hAnsi="仿宋" w:eastAsia="仿宋" w:cs="仿宋"/>
          <w:kern w:val="0"/>
          <w:sz w:val="28"/>
          <w:szCs w:val="28"/>
        </w:rPr>
        <w:t>的运用。说课时间为1</w:t>
      </w:r>
      <w:r>
        <w:rPr>
          <w:rFonts w:ascii="仿宋" w:hAnsi="仿宋" w:eastAsia="仿宋" w:cs="仿宋"/>
          <w:kern w:val="0"/>
          <w:sz w:val="28"/>
          <w:szCs w:val="28"/>
        </w:rPr>
        <w:t>0</w:t>
      </w:r>
      <w:r>
        <w:rPr>
          <w:rFonts w:hint="eastAsia" w:ascii="仿宋" w:hAnsi="仿宋" w:eastAsia="仿宋" w:cs="仿宋"/>
          <w:kern w:val="0"/>
          <w:sz w:val="28"/>
          <w:szCs w:val="28"/>
        </w:rPr>
        <w:t>分钟。</w:t>
      </w:r>
    </w:p>
    <w:p>
      <w:pPr>
        <w:ind w:firstLine="680" w:firstLineChars="200"/>
        <w:rPr>
          <w:rFonts w:ascii="楷体" w:hAnsi="楷体" w:eastAsia="楷体" w:cs="宋体"/>
          <w:kern w:val="0"/>
          <w:sz w:val="32"/>
          <w:szCs w:val="32"/>
        </w:rPr>
      </w:pPr>
      <w:r>
        <w:rPr>
          <w:rFonts w:hint="eastAsia" w:ascii="楷体" w:hAnsi="楷体" w:eastAsia="楷体" w:cs="宋体"/>
          <w:kern w:val="0"/>
          <w:sz w:val="32"/>
          <w:szCs w:val="32"/>
        </w:rPr>
        <w:t>（二）作品要求</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1.教学视频</w:t>
      </w:r>
    </w:p>
    <w:p>
      <w:pPr>
        <w:widowControl/>
        <w:shd w:val="clear" w:color="auto" w:fill="FFFFFF"/>
        <w:spacing w:line="518" w:lineRule="atLeast"/>
        <w:ind w:firstLine="600" w:firstLineChars="200"/>
        <w:jc w:val="left"/>
        <w:rPr>
          <w:rFonts w:ascii="仿宋" w:hAnsi="仿宋" w:eastAsia="仿宋" w:cs="仿宋"/>
          <w:kern w:val="0"/>
          <w:sz w:val="28"/>
          <w:szCs w:val="28"/>
        </w:rPr>
      </w:pPr>
      <w:r>
        <w:rPr>
          <w:rFonts w:hint="eastAsia" w:ascii="仿宋" w:hAnsi="仿宋" w:eastAsia="仿宋" w:cs="仿宋"/>
          <w:kern w:val="0"/>
          <w:sz w:val="28"/>
          <w:szCs w:val="28"/>
        </w:rPr>
        <w:t>视频内容制作精细，画面精致，图像清晰稳定，构图合理，声音清晰，全面真实地反映教学情境；片头应显示课程名称、微课标题，主要教学环节有字幕提示；限定为MP4格式,大小在</w:t>
      </w:r>
      <w:r>
        <w:rPr>
          <w:rFonts w:ascii="仿宋" w:hAnsi="仿宋" w:eastAsia="仿宋" w:cs="仿宋"/>
          <w:kern w:val="0"/>
          <w:sz w:val="28"/>
          <w:szCs w:val="28"/>
        </w:rPr>
        <w:t>10</w:t>
      </w:r>
      <w:r>
        <w:rPr>
          <w:rFonts w:hint="eastAsia" w:ascii="仿宋" w:hAnsi="仿宋" w:eastAsia="仿宋" w:cs="仿宋"/>
          <w:kern w:val="0"/>
          <w:sz w:val="28"/>
          <w:szCs w:val="28"/>
        </w:rPr>
        <w:t>0M以内。具体技术指标要求为：视频压缩采用H.264（MPEG-4 Part10：profile=main，level=3.0）编码方式，动态码流的最高码率不高于2500Kbps，最低码率不得低于1024Kbps，帧率为25fps，分辨率不低于720×576（4:3）或1024×576（16:9），音频采样率48KHz，码流率128Kbps（恒定）。增加大赛专用LOGO。</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2.演示文稿</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内容围绕教学目标，反映主要教学内容，与教学视频合理搭配。格式限定为PPT</w:t>
      </w:r>
      <w:r>
        <w:rPr>
          <w:rFonts w:hint="eastAsia" w:ascii="仿宋" w:hAnsi="仿宋" w:eastAsia="仿宋" w:cs="仿宋"/>
          <w:kern w:val="0"/>
          <w:sz w:val="28"/>
          <w:szCs w:val="28"/>
        </w:rPr>
        <w:tab/>
      </w:r>
      <w:r>
        <w:rPr>
          <w:rFonts w:hint="eastAsia" w:ascii="仿宋" w:hAnsi="仿宋" w:eastAsia="仿宋" w:cs="仿宋"/>
          <w:kern w:val="0"/>
          <w:sz w:val="28"/>
          <w:szCs w:val="28"/>
        </w:rPr>
        <w:t>格式，大小在</w:t>
      </w:r>
      <w:r>
        <w:rPr>
          <w:rFonts w:ascii="仿宋" w:hAnsi="仿宋" w:eastAsia="仿宋" w:cs="仿宋"/>
          <w:kern w:val="0"/>
          <w:sz w:val="28"/>
          <w:szCs w:val="28"/>
        </w:rPr>
        <w:t>50</w:t>
      </w:r>
      <w:r>
        <w:rPr>
          <w:rFonts w:hint="eastAsia" w:ascii="仿宋" w:hAnsi="仿宋" w:eastAsia="仿宋" w:cs="仿宋"/>
          <w:kern w:val="0"/>
          <w:sz w:val="28"/>
          <w:szCs w:val="28"/>
        </w:rPr>
        <w:t>M以内。</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3.教学设计</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反映教师教学思想、课程设计思路和教学特色，包括教学背景、教学目标、教学</w:t>
      </w:r>
      <w:r>
        <w:rPr>
          <w:rFonts w:ascii="仿宋" w:hAnsi="仿宋" w:eastAsia="仿宋" w:cs="仿宋"/>
          <w:kern w:val="0"/>
          <w:sz w:val="28"/>
          <w:szCs w:val="28"/>
        </w:rPr>
        <w:t>策略、教学</w:t>
      </w:r>
      <w:r>
        <w:rPr>
          <w:rFonts w:hint="eastAsia" w:ascii="仿宋" w:hAnsi="仿宋" w:eastAsia="仿宋" w:cs="仿宋"/>
          <w:kern w:val="0"/>
          <w:sz w:val="28"/>
          <w:szCs w:val="28"/>
        </w:rPr>
        <w:t>过程</w:t>
      </w:r>
      <w:r>
        <w:rPr>
          <w:rFonts w:ascii="仿宋" w:hAnsi="仿宋" w:eastAsia="仿宋" w:cs="仿宋"/>
          <w:kern w:val="0"/>
          <w:sz w:val="28"/>
          <w:szCs w:val="28"/>
        </w:rPr>
        <w:t>、</w:t>
      </w:r>
      <w:r>
        <w:rPr>
          <w:rFonts w:hint="eastAsia" w:ascii="仿宋" w:hAnsi="仿宋" w:eastAsia="仿宋" w:cs="仿宋"/>
          <w:kern w:val="0"/>
          <w:sz w:val="28"/>
          <w:szCs w:val="28"/>
        </w:rPr>
        <w:t>教学评价和教学总结等方面内容，并在开篇标明讲课内容所属大类专业、课程名称、知识重难点（技能点）名称及适用对象等信息。格式限定为DOC格式。</w:t>
      </w:r>
    </w:p>
    <w:p>
      <w:pPr>
        <w:widowControl/>
        <w:shd w:val="clear" w:color="auto" w:fill="FFFFFF"/>
        <w:spacing w:line="518" w:lineRule="atLeast"/>
        <w:ind w:firstLine="677"/>
        <w:jc w:val="left"/>
        <w:rPr>
          <w:rFonts w:ascii="黑体" w:hAnsi="黑体" w:eastAsia="黑体" w:cs="宋体"/>
          <w:kern w:val="0"/>
          <w:sz w:val="32"/>
          <w:szCs w:val="32"/>
        </w:rPr>
      </w:pPr>
      <w:r>
        <w:rPr>
          <w:rFonts w:hint="eastAsia" w:ascii="黑体" w:hAnsi="黑体" w:eastAsia="黑体" w:cs="宋体"/>
          <w:kern w:val="0"/>
          <w:sz w:val="32"/>
          <w:szCs w:val="32"/>
        </w:rPr>
        <w:t>六、比赛要求</w:t>
      </w:r>
    </w:p>
    <w:p>
      <w:pPr>
        <w:ind w:firstLine="600" w:firstLineChars="200"/>
        <w:rPr>
          <w:rFonts w:ascii="黑体" w:hAnsi="黑体" w:eastAsia="黑体" w:cs="宋体"/>
          <w:kern w:val="0"/>
          <w:sz w:val="32"/>
          <w:szCs w:val="32"/>
        </w:rPr>
      </w:pPr>
      <w:r>
        <w:rPr>
          <w:rFonts w:hint="eastAsia" w:ascii="仿宋" w:hAnsi="仿宋" w:eastAsia="仿宋" w:cs="仿宋"/>
          <w:kern w:val="0"/>
          <w:sz w:val="28"/>
          <w:szCs w:val="28"/>
        </w:rPr>
        <w:t>（一）参赛教师自选任教课程，精心设计与制作教学课件并录制课堂教学视频。授课过程中要充分合理运用各种现代教育技术手段，如二维、三维动画，经济生活及生产企业一线实拍视频，HTML页面以及PPT等，充分运用各种教学设备、仪器进行课程设计。</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（二）参赛作品应为原创，资料引用</w:t>
      </w:r>
      <w:r>
        <w:rPr>
          <w:rFonts w:ascii="仿宋" w:hAnsi="仿宋" w:eastAsia="仿宋" w:cs="仿宋"/>
          <w:kern w:val="0"/>
          <w:sz w:val="28"/>
          <w:szCs w:val="28"/>
        </w:rPr>
        <w:t>应注明出处</w:t>
      </w:r>
      <w:r>
        <w:rPr>
          <w:rFonts w:hint="eastAsia" w:ascii="仿宋" w:hAnsi="仿宋" w:eastAsia="仿宋" w:cs="仿宋"/>
          <w:kern w:val="0"/>
          <w:sz w:val="28"/>
          <w:szCs w:val="28"/>
        </w:rPr>
        <w:t>，</w:t>
      </w:r>
      <w:r>
        <w:rPr>
          <w:rFonts w:ascii="仿宋" w:hAnsi="仿宋" w:eastAsia="仿宋" w:cs="仿宋"/>
          <w:kern w:val="0"/>
          <w:sz w:val="28"/>
          <w:szCs w:val="28"/>
        </w:rPr>
        <w:t>选手</w:t>
      </w:r>
      <w:r>
        <w:rPr>
          <w:rFonts w:hint="eastAsia" w:ascii="仿宋" w:hAnsi="仿宋" w:eastAsia="仿宋" w:cs="仿宋"/>
          <w:kern w:val="0"/>
          <w:sz w:val="28"/>
          <w:szCs w:val="28"/>
        </w:rPr>
        <w:t>不得抄袭他人作品、侵犯他人著作权，作品中不得含有任何不良信息内容，否则一律取消参赛资格，所造成一切不良后果均由参赛者本人承担。</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（三）比赛采取匿名方式进行，除参赛报名表之外，参赛教师提交的视频、演示文稿、教学设计（教案）文稿等参赛资料不得以任何方式出现院校或教师信息，否则取消其</w:t>
      </w:r>
      <w:r>
        <w:rPr>
          <w:rFonts w:ascii="仿宋" w:hAnsi="仿宋" w:eastAsia="仿宋" w:cs="仿宋"/>
          <w:kern w:val="0"/>
          <w:sz w:val="28"/>
          <w:szCs w:val="28"/>
        </w:rPr>
        <w:t>参赛资格</w:t>
      </w:r>
      <w:r>
        <w:rPr>
          <w:rFonts w:hint="eastAsia" w:ascii="仿宋" w:hAnsi="仿宋" w:eastAsia="仿宋" w:cs="仿宋"/>
          <w:kern w:val="0"/>
          <w:sz w:val="28"/>
          <w:szCs w:val="28"/>
        </w:rPr>
        <w:t>。</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（四）此项比赛与青年教师教学比赛使用同一平台。参赛选手于 201</w:t>
      </w:r>
      <w:r>
        <w:rPr>
          <w:rFonts w:ascii="仿宋" w:hAnsi="仿宋" w:eastAsia="仿宋" w:cs="仿宋"/>
          <w:kern w:val="0"/>
          <w:sz w:val="28"/>
          <w:szCs w:val="28"/>
        </w:rPr>
        <w:t>9</w:t>
      </w:r>
      <w:r>
        <w:rPr>
          <w:rFonts w:hint="eastAsia" w:ascii="仿宋" w:hAnsi="仿宋" w:eastAsia="仿宋" w:cs="仿宋"/>
          <w:kern w:val="0"/>
          <w:sz w:val="28"/>
          <w:szCs w:val="28"/>
        </w:rPr>
        <w:t>年</w:t>
      </w:r>
      <w:r>
        <w:rPr>
          <w:rFonts w:ascii="仿宋" w:hAnsi="仿宋" w:eastAsia="仿宋" w:cs="仿宋"/>
          <w:kern w:val="0"/>
          <w:sz w:val="28"/>
          <w:szCs w:val="28"/>
        </w:rPr>
        <w:t>4</w:t>
      </w:r>
      <w:r>
        <w:rPr>
          <w:rFonts w:hint="eastAsia" w:ascii="仿宋" w:hAnsi="仿宋" w:eastAsia="仿宋" w:cs="仿宋"/>
          <w:kern w:val="0"/>
          <w:sz w:val="28"/>
          <w:szCs w:val="28"/>
        </w:rPr>
        <w:t>月</w:t>
      </w:r>
      <w:r>
        <w:rPr>
          <w:rFonts w:ascii="仿宋" w:hAnsi="仿宋" w:eastAsia="仿宋" w:cs="仿宋"/>
          <w:kern w:val="0"/>
          <w:sz w:val="28"/>
          <w:szCs w:val="28"/>
        </w:rPr>
        <w:t>15</w:t>
      </w:r>
      <w:r>
        <w:rPr>
          <w:rFonts w:hint="eastAsia" w:ascii="仿宋" w:hAnsi="仿宋" w:eastAsia="仿宋" w:cs="仿宋"/>
          <w:kern w:val="0"/>
          <w:sz w:val="28"/>
          <w:szCs w:val="28"/>
        </w:rPr>
        <w:t>日前完成网上报名工作，于 201</w:t>
      </w:r>
      <w:r>
        <w:rPr>
          <w:rFonts w:ascii="仿宋" w:hAnsi="仿宋" w:eastAsia="仿宋" w:cs="仿宋"/>
          <w:kern w:val="0"/>
          <w:sz w:val="28"/>
          <w:szCs w:val="28"/>
        </w:rPr>
        <w:t>9</w:t>
      </w:r>
      <w:r>
        <w:rPr>
          <w:rFonts w:hint="eastAsia" w:ascii="仿宋" w:hAnsi="仿宋" w:eastAsia="仿宋" w:cs="仿宋"/>
          <w:kern w:val="0"/>
          <w:sz w:val="28"/>
          <w:szCs w:val="28"/>
        </w:rPr>
        <w:t>年</w:t>
      </w:r>
      <w:r>
        <w:rPr>
          <w:rFonts w:ascii="仿宋" w:hAnsi="仿宋" w:eastAsia="仿宋" w:cs="仿宋"/>
          <w:kern w:val="0"/>
          <w:sz w:val="28"/>
          <w:szCs w:val="28"/>
        </w:rPr>
        <w:t>4</w:t>
      </w:r>
      <w:r>
        <w:rPr>
          <w:rFonts w:hint="eastAsia" w:ascii="仿宋" w:hAnsi="仿宋" w:eastAsia="仿宋" w:cs="仿宋"/>
          <w:kern w:val="0"/>
          <w:sz w:val="28"/>
          <w:szCs w:val="28"/>
        </w:rPr>
        <w:t>月</w:t>
      </w:r>
      <w:r>
        <w:rPr>
          <w:rFonts w:ascii="仿宋" w:hAnsi="仿宋" w:eastAsia="仿宋" w:cs="仿宋"/>
          <w:kern w:val="0"/>
          <w:sz w:val="28"/>
          <w:szCs w:val="28"/>
        </w:rPr>
        <w:t>20</w:t>
      </w:r>
      <w:r>
        <w:rPr>
          <w:rFonts w:hint="eastAsia" w:ascii="仿宋" w:hAnsi="仿宋" w:eastAsia="仿宋" w:cs="仿宋"/>
          <w:kern w:val="0"/>
          <w:sz w:val="28"/>
          <w:szCs w:val="28"/>
        </w:rPr>
        <w:t>日前完成复赛作品上传。各高校管理员于201</w:t>
      </w:r>
      <w:r>
        <w:rPr>
          <w:rFonts w:ascii="仿宋" w:hAnsi="仿宋" w:eastAsia="仿宋" w:cs="仿宋"/>
          <w:kern w:val="0"/>
          <w:sz w:val="28"/>
          <w:szCs w:val="28"/>
        </w:rPr>
        <w:t>9</w:t>
      </w:r>
      <w:r>
        <w:rPr>
          <w:rFonts w:hint="eastAsia" w:ascii="仿宋" w:hAnsi="仿宋" w:eastAsia="仿宋" w:cs="仿宋"/>
          <w:kern w:val="0"/>
          <w:sz w:val="28"/>
          <w:szCs w:val="28"/>
        </w:rPr>
        <w:t>年</w:t>
      </w:r>
      <w:r>
        <w:rPr>
          <w:rFonts w:ascii="仿宋" w:hAnsi="仿宋" w:eastAsia="仿宋" w:cs="仿宋"/>
          <w:kern w:val="0"/>
          <w:sz w:val="28"/>
          <w:szCs w:val="28"/>
        </w:rPr>
        <w:t>4</w:t>
      </w:r>
      <w:r>
        <w:rPr>
          <w:rFonts w:hint="eastAsia" w:ascii="仿宋" w:hAnsi="仿宋" w:eastAsia="仿宋" w:cs="仿宋"/>
          <w:kern w:val="0"/>
          <w:sz w:val="28"/>
          <w:szCs w:val="28"/>
        </w:rPr>
        <w:t>月</w:t>
      </w:r>
      <w:r>
        <w:rPr>
          <w:rFonts w:ascii="仿宋" w:hAnsi="仿宋" w:eastAsia="仿宋" w:cs="仿宋"/>
          <w:kern w:val="0"/>
          <w:sz w:val="28"/>
          <w:szCs w:val="28"/>
        </w:rPr>
        <w:t>21</w:t>
      </w:r>
      <w:r>
        <w:rPr>
          <w:rFonts w:hint="eastAsia" w:ascii="仿宋" w:hAnsi="仿宋" w:eastAsia="仿宋" w:cs="仿宋"/>
          <w:kern w:val="0"/>
          <w:sz w:val="28"/>
          <w:szCs w:val="28"/>
        </w:rPr>
        <w:t>日前完成审核。</w:t>
      </w:r>
    </w:p>
    <w:p>
      <w:pPr>
        <w:widowControl/>
        <w:shd w:val="clear" w:color="auto" w:fill="FFFFFF"/>
        <w:spacing w:line="518" w:lineRule="atLeast"/>
        <w:ind w:firstLine="677"/>
        <w:jc w:val="left"/>
        <w:rPr>
          <w:rFonts w:ascii="黑体" w:hAnsi="黑体" w:eastAsia="黑体" w:cs="宋体"/>
          <w:kern w:val="0"/>
          <w:sz w:val="32"/>
          <w:szCs w:val="32"/>
        </w:rPr>
      </w:pPr>
      <w:r>
        <w:rPr>
          <w:rFonts w:hint="eastAsia" w:ascii="黑体" w:hAnsi="黑体" w:eastAsia="黑体" w:cs="宋体"/>
          <w:kern w:val="0"/>
          <w:sz w:val="32"/>
          <w:szCs w:val="32"/>
        </w:rPr>
        <w:t>七、比赛奖励</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比赛设个人奖和单位组织奖。省教育厅、省教育工会对获奖选手和单位名单进行公布。</w:t>
      </w:r>
    </w:p>
    <w:p>
      <w:pPr>
        <w:widowControl/>
        <w:shd w:val="clear" w:color="auto" w:fill="FFFFFF"/>
        <w:spacing w:line="518" w:lineRule="atLeast"/>
        <w:ind w:firstLine="677"/>
        <w:jc w:val="left"/>
        <w:rPr>
          <w:rFonts w:ascii="仿宋" w:hAnsi="仿宋" w:eastAsia="仿宋" w:cs="仿宋"/>
          <w:kern w:val="0"/>
          <w:sz w:val="28"/>
          <w:szCs w:val="28"/>
        </w:rPr>
      </w:pPr>
      <w:r>
        <w:rPr>
          <w:rFonts w:hint="eastAsia" w:ascii="楷体" w:hAnsi="楷体" w:eastAsia="楷体" w:cs="宋体"/>
          <w:kern w:val="0"/>
          <w:sz w:val="32"/>
          <w:szCs w:val="32"/>
        </w:rPr>
        <w:t>（一）个人奖</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比赛设一、二、三等奖及优秀奖，一、二、三等奖获奖比例分别占进入决赛选手总数的10%、15%、20%，优秀奖若干。缺席省级比赛的选手，视为自动弃权。</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注：此项比赛一等奖获得者不参加全国高校青年教师教学比赛。</w:t>
      </w:r>
    </w:p>
    <w:p>
      <w:pPr>
        <w:ind w:firstLine="680" w:firstLineChars="200"/>
        <w:rPr>
          <w:rFonts w:ascii="楷体" w:hAnsi="楷体" w:eastAsia="楷体" w:cs="宋体"/>
          <w:kern w:val="0"/>
          <w:sz w:val="32"/>
          <w:szCs w:val="32"/>
        </w:rPr>
      </w:pPr>
      <w:r>
        <w:rPr>
          <w:rFonts w:hint="eastAsia" w:ascii="楷体" w:hAnsi="楷体" w:eastAsia="楷体" w:cs="宋体"/>
          <w:kern w:val="0"/>
          <w:sz w:val="32"/>
          <w:szCs w:val="32"/>
        </w:rPr>
        <w:t>（二）单位组织奖</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设25个优秀组织奖，评选办法见附件二。</w:t>
      </w:r>
    </w:p>
    <w:p>
      <w:pPr>
        <w:widowControl/>
        <w:shd w:val="clear" w:color="auto" w:fill="FFFFFF"/>
        <w:spacing w:line="518" w:lineRule="atLeast"/>
        <w:ind w:firstLine="677"/>
        <w:jc w:val="left"/>
        <w:rPr>
          <w:rFonts w:ascii="黑体" w:hAnsi="黑体" w:eastAsia="黑体" w:cs="宋体"/>
          <w:kern w:val="0"/>
          <w:sz w:val="32"/>
          <w:szCs w:val="32"/>
        </w:rPr>
      </w:pPr>
      <w:r>
        <w:rPr>
          <w:rFonts w:hint="eastAsia" w:ascii="黑体" w:hAnsi="黑体" w:eastAsia="黑体" w:cs="宋体"/>
          <w:kern w:val="0"/>
          <w:sz w:val="32"/>
          <w:szCs w:val="32"/>
        </w:rPr>
        <w:t xml:space="preserve">八、其他事宜    </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（一）各高校要高度重视，提高认识，充分利用信息化教学比赛提高院校教师教育技术应用能力和信息化教学水平，提高先进信息技术、优质教育资源的建设与应用水平。</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（二）参赛选手提交作品时需在线签署有关协议。经选手同意，组委会统一组织对比赛成果的公益性共享。</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（三）比赛实施方案另行通知。</w:t>
      </w:r>
    </w:p>
    <w:p>
      <w:pPr>
        <w:ind w:firstLine="600" w:firstLineChars="200"/>
        <w:rPr>
          <w:rFonts w:ascii="仿宋" w:hAnsi="仿宋" w:eastAsia="仿宋" w:cs="仿宋"/>
          <w:kern w:val="0"/>
          <w:sz w:val="28"/>
          <w:szCs w:val="28"/>
        </w:rPr>
      </w:pPr>
    </w:p>
    <w:p>
      <w:pPr>
        <w:widowControl/>
        <w:jc w:val="left"/>
        <w:rPr>
          <w:rFonts w:ascii="黑体" w:hAnsi="黑体" w:eastAsia="黑体"/>
          <w:color w:val="000000"/>
          <w:sz w:val="40"/>
          <w:szCs w:val="32"/>
        </w:rPr>
      </w:pPr>
      <w:r>
        <w:rPr>
          <w:rFonts w:ascii="黑体" w:hAnsi="黑体" w:eastAsia="黑体"/>
          <w:color w:val="000000"/>
          <w:sz w:val="40"/>
          <w:szCs w:val="32"/>
        </w:rPr>
        <w:br w:type="page"/>
      </w:r>
    </w:p>
    <w:p>
      <w:pPr>
        <w:widowControl/>
        <w:spacing w:after="292" w:afterLines="50"/>
        <w:jc w:val="left"/>
        <w:rPr>
          <w:rFonts w:ascii="黑体" w:hAnsi="黑体" w:eastAsia="黑体"/>
          <w:color w:val="000000"/>
          <w:sz w:val="40"/>
          <w:szCs w:val="32"/>
        </w:rPr>
      </w:pPr>
      <w:r>
        <w:rPr>
          <w:rFonts w:hint="eastAsia" w:ascii="黑体" w:hAnsi="黑体" w:eastAsia="黑体"/>
          <w:color w:val="000000"/>
          <w:sz w:val="40"/>
          <w:szCs w:val="32"/>
        </w:rPr>
        <w:t>第三部分 关于高校教师教学比赛评审平台问题</w:t>
      </w:r>
    </w:p>
    <w:p>
      <w:pPr>
        <w:ind w:firstLine="600" w:firstLineChars="200"/>
        <w:rPr>
          <w:rFonts w:ascii="仿宋" w:hAnsi="仿宋" w:eastAsia="仿宋" w:cs="仿宋"/>
          <w:kern w:val="0"/>
          <w:sz w:val="28"/>
          <w:szCs w:val="28"/>
        </w:rPr>
      </w:pPr>
      <w:r>
        <w:rPr>
          <w:rFonts w:hint="eastAsia" w:ascii="仿宋" w:hAnsi="仿宋" w:eastAsia="仿宋" w:cs="仿宋"/>
          <w:kern w:val="0"/>
          <w:sz w:val="28"/>
          <w:szCs w:val="28"/>
        </w:rPr>
        <w:t>山东省高等学校师资培训中心计划开放山东省高校教师教学比赛评审平台以方便各高校组织校级赛事，实现校级比赛与省级比赛的无缝对接，具体实现时间需与技术开发公司协调后确定，初步定于2018年1</w:t>
      </w:r>
      <w:r>
        <w:rPr>
          <w:rFonts w:ascii="仿宋" w:hAnsi="仿宋" w:eastAsia="仿宋" w:cs="仿宋"/>
          <w:kern w:val="0"/>
          <w:sz w:val="28"/>
          <w:szCs w:val="28"/>
        </w:rPr>
        <w:t>0</w:t>
      </w:r>
      <w:r>
        <w:rPr>
          <w:rFonts w:hint="eastAsia" w:ascii="仿宋" w:hAnsi="仿宋" w:eastAsia="仿宋" w:cs="仿宋"/>
          <w:kern w:val="0"/>
          <w:sz w:val="28"/>
          <w:szCs w:val="28"/>
        </w:rPr>
        <w:t>月份。校级比赛评审平台包括</w:t>
      </w:r>
      <w:r>
        <w:rPr>
          <w:rFonts w:hint="eastAsia" w:ascii="仿宋" w:hAnsi="仿宋" w:eastAsia="仿宋" w:cs="仿宋"/>
          <w:color w:val="FF0000"/>
          <w:kern w:val="0"/>
          <w:sz w:val="28"/>
          <w:szCs w:val="28"/>
        </w:rPr>
        <w:t>但不限于</w:t>
      </w:r>
      <w:r>
        <w:rPr>
          <w:rFonts w:hint="eastAsia" w:ascii="仿宋" w:hAnsi="仿宋" w:eastAsia="仿宋" w:cs="仿宋"/>
          <w:kern w:val="0"/>
          <w:sz w:val="28"/>
          <w:szCs w:val="28"/>
        </w:rPr>
        <w:t>省赛所用功能，具体需求可以提出建议。</w:t>
      </w:r>
    </w:p>
    <w:p/>
    <w:p>
      <w:pPr>
        <w:widowControl/>
        <w:spacing w:after="292" w:afterLines="50"/>
        <w:jc w:val="center"/>
        <w:rPr>
          <w:rFonts w:ascii="黑体" w:hAnsi="黑体" w:eastAsia="黑体"/>
          <w:color w:val="000000"/>
          <w:sz w:val="40"/>
          <w:szCs w:val="32"/>
        </w:rPr>
      </w:pPr>
      <w:r>
        <w:rPr>
          <w:rFonts w:hint="eastAsia" w:ascii="黑体" w:hAnsi="黑体" w:eastAsia="黑体"/>
          <w:color w:val="000000"/>
          <w:sz w:val="40"/>
          <w:szCs w:val="32"/>
        </w:rPr>
        <w:t>第四部分 关于专家信息库补充建设问题</w:t>
      </w:r>
    </w:p>
    <w:p>
      <w:pPr>
        <w:widowControl/>
        <w:ind w:firstLine="600"/>
        <w:rPr>
          <w:rFonts w:ascii="仿宋" w:hAnsi="仿宋" w:eastAsia="仿宋" w:cs="仿宋"/>
          <w:kern w:val="0"/>
          <w:sz w:val="28"/>
          <w:szCs w:val="28"/>
        </w:rPr>
      </w:pPr>
      <w:r>
        <w:rPr>
          <w:rFonts w:hint="eastAsia" w:ascii="仿宋" w:hAnsi="仿宋" w:eastAsia="仿宋" w:cs="仿宋"/>
          <w:kern w:val="0"/>
          <w:sz w:val="28"/>
          <w:szCs w:val="28"/>
        </w:rPr>
        <w:t>为促进我省高等教育事业发展，充分调动和发挥全省高等学校专家学者作用，为青年教师教学比赛、信息化教学及各类高校教师培训等活动整合专家资源，山东省高等学校师资培训中心拟对现有山东省高等学校专家信息库进行补充，现面向各高校征集专家信息。</w:t>
      </w:r>
    </w:p>
    <w:p>
      <w:pPr>
        <w:widowControl/>
        <w:shd w:val="clear" w:color="auto" w:fill="FFFFFF"/>
        <w:spacing w:line="518" w:lineRule="atLeast"/>
        <w:ind w:firstLine="677"/>
        <w:jc w:val="left"/>
        <w:rPr>
          <w:rFonts w:ascii="黑体" w:hAnsi="黑体" w:eastAsia="黑体" w:cs="宋体"/>
          <w:kern w:val="0"/>
          <w:sz w:val="32"/>
          <w:szCs w:val="32"/>
        </w:rPr>
      </w:pPr>
      <w:r>
        <w:rPr>
          <w:rFonts w:hint="eastAsia" w:ascii="黑体" w:hAnsi="黑体" w:eastAsia="黑体" w:cs="宋体"/>
          <w:kern w:val="0"/>
          <w:sz w:val="32"/>
          <w:szCs w:val="32"/>
        </w:rPr>
        <w:t>一、专家报送范围</w:t>
      </w:r>
    </w:p>
    <w:p>
      <w:pPr>
        <w:widowControl/>
        <w:ind w:firstLine="600" w:firstLineChars="200"/>
        <w:rPr>
          <w:rFonts w:ascii="仿宋" w:hAnsi="仿宋" w:eastAsia="仿宋" w:cs="仿宋"/>
          <w:kern w:val="0"/>
          <w:sz w:val="28"/>
          <w:szCs w:val="28"/>
        </w:rPr>
      </w:pPr>
      <w:r>
        <w:rPr>
          <w:rFonts w:hint="eastAsia" w:ascii="仿宋" w:hAnsi="仿宋" w:eastAsia="仿宋" w:cs="仿宋"/>
          <w:kern w:val="0"/>
          <w:sz w:val="28"/>
          <w:szCs w:val="28"/>
        </w:rPr>
        <w:t>（一）身体健康，年龄在</w:t>
      </w:r>
      <w:r>
        <w:rPr>
          <w:rFonts w:ascii="仿宋" w:hAnsi="仿宋" w:eastAsia="仿宋" w:cs="仿宋"/>
          <w:kern w:val="0"/>
          <w:sz w:val="28"/>
          <w:szCs w:val="28"/>
        </w:rPr>
        <w:t>65</w:t>
      </w:r>
      <w:r>
        <w:rPr>
          <w:rFonts w:hint="eastAsia" w:ascii="仿宋" w:hAnsi="仿宋" w:eastAsia="仿宋" w:cs="仿宋"/>
          <w:kern w:val="0"/>
          <w:sz w:val="28"/>
          <w:szCs w:val="28"/>
        </w:rPr>
        <w:t>周岁以下（学术领域知名或有贡献的专家年龄可放宽限制）；</w:t>
      </w:r>
    </w:p>
    <w:p>
      <w:pPr>
        <w:widowControl/>
        <w:ind w:firstLine="600" w:firstLineChars="200"/>
        <w:rPr>
          <w:rFonts w:ascii="仿宋" w:hAnsi="仿宋" w:eastAsia="仿宋" w:cs="仿宋"/>
          <w:kern w:val="0"/>
          <w:sz w:val="28"/>
          <w:szCs w:val="28"/>
        </w:rPr>
      </w:pPr>
      <w:r>
        <w:rPr>
          <w:rFonts w:hint="eastAsia" w:ascii="仿宋" w:hAnsi="仿宋" w:eastAsia="仿宋" w:cs="仿宋"/>
          <w:kern w:val="0"/>
          <w:sz w:val="28"/>
          <w:szCs w:val="28"/>
        </w:rPr>
        <w:t>（二）从事相关专业领域工作满8年并具有副高级及以上技术职称；</w:t>
      </w:r>
    </w:p>
    <w:p>
      <w:pPr>
        <w:widowControl/>
        <w:ind w:firstLine="600" w:firstLineChars="200"/>
        <w:rPr>
          <w:rFonts w:ascii="仿宋" w:hAnsi="仿宋" w:eastAsia="仿宋" w:cs="仿宋"/>
          <w:kern w:val="0"/>
          <w:sz w:val="28"/>
          <w:szCs w:val="28"/>
        </w:rPr>
      </w:pPr>
      <w:r>
        <w:rPr>
          <w:rFonts w:hint="eastAsia" w:ascii="仿宋" w:hAnsi="仿宋" w:eastAsia="仿宋" w:cs="仿宋"/>
          <w:kern w:val="0"/>
          <w:sz w:val="28"/>
          <w:szCs w:val="28"/>
        </w:rPr>
        <w:t>（三）遵守纪律，服从管理，自觉接受监督；</w:t>
      </w:r>
    </w:p>
    <w:p>
      <w:pPr>
        <w:widowControl/>
        <w:ind w:firstLine="600" w:firstLineChars="200"/>
        <w:rPr>
          <w:rFonts w:ascii="仿宋" w:hAnsi="仿宋" w:eastAsia="仿宋" w:cs="仿宋"/>
          <w:kern w:val="0"/>
          <w:sz w:val="28"/>
          <w:szCs w:val="28"/>
        </w:rPr>
      </w:pPr>
      <w:r>
        <w:rPr>
          <w:rFonts w:hint="eastAsia" w:ascii="仿宋" w:hAnsi="仿宋" w:eastAsia="仿宋" w:cs="仿宋"/>
          <w:kern w:val="0"/>
          <w:sz w:val="28"/>
          <w:szCs w:val="28"/>
        </w:rPr>
        <w:t>（四）能熟练使用计算机常用软件；</w:t>
      </w:r>
    </w:p>
    <w:p>
      <w:pPr>
        <w:widowControl/>
        <w:ind w:firstLine="600" w:firstLineChars="200"/>
        <w:rPr>
          <w:rFonts w:ascii="仿宋" w:hAnsi="仿宋" w:eastAsia="仿宋" w:cs="仿宋"/>
          <w:kern w:val="0"/>
          <w:sz w:val="28"/>
          <w:szCs w:val="28"/>
        </w:rPr>
      </w:pPr>
      <w:r>
        <w:rPr>
          <w:rFonts w:hint="eastAsia" w:ascii="仿宋" w:hAnsi="仿宋" w:eastAsia="仿宋" w:cs="仿宋"/>
          <w:kern w:val="0"/>
          <w:sz w:val="28"/>
          <w:szCs w:val="28"/>
        </w:rPr>
        <w:t>（五）坚持原则，具有良好的职业操守，秉公办事，认真、公正、诚实、廉洁地履行职责，无造成社会不良影响的重大投诉（否定项）；</w:t>
      </w:r>
    </w:p>
    <w:p>
      <w:pPr>
        <w:widowControl/>
        <w:shd w:val="clear" w:color="auto" w:fill="FFFFFF"/>
        <w:spacing w:line="518" w:lineRule="atLeast"/>
        <w:ind w:firstLine="677"/>
        <w:jc w:val="left"/>
        <w:rPr>
          <w:rFonts w:ascii="黑体" w:hAnsi="黑体" w:eastAsia="黑体" w:cs="宋体"/>
          <w:kern w:val="0"/>
          <w:sz w:val="32"/>
          <w:szCs w:val="32"/>
        </w:rPr>
      </w:pPr>
      <w:r>
        <w:rPr>
          <w:rFonts w:hint="eastAsia" w:ascii="黑体" w:hAnsi="黑体" w:eastAsia="黑体" w:cs="宋体"/>
          <w:kern w:val="0"/>
          <w:sz w:val="32"/>
          <w:szCs w:val="32"/>
        </w:rPr>
        <w:t>二、报送方法说明</w:t>
      </w:r>
    </w:p>
    <w:p>
      <w:pPr>
        <w:spacing w:line="480" w:lineRule="exact"/>
        <w:ind w:firstLine="600" w:firstLineChars="200"/>
        <w:jc w:val="left"/>
        <w:rPr>
          <w:rFonts w:ascii="仿宋" w:hAnsi="仿宋" w:eastAsia="仿宋" w:cs="仿宋"/>
          <w:kern w:val="0"/>
          <w:sz w:val="28"/>
          <w:szCs w:val="28"/>
        </w:rPr>
      </w:pPr>
      <w:r>
        <w:rPr>
          <w:rFonts w:hint="eastAsia" w:ascii="仿宋" w:hAnsi="仿宋" w:eastAsia="仿宋" w:cs="仿宋"/>
          <w:kern w:val="0"/>
          <w:sz w:val="28"/>
          <w:szCs w:val="28"/>
        </w:rPr>
        <w:t>采取学校统一推荐报送的方式。学校组织本校符合条件的专家登陆山东省高等学校师资培训中心，在山东省高校教师培训管理平台中注册填写相关信息，经高校管理员审核并上传《专家推荐汇总表》（附件三）后进入专家库。各高校不限额推荐专家。</w:t>
      </w:r>
    </w:p>
    <w:p>
      <w:pPr>
        <w:ind w:firstLine="600"/>
        <w:rPr>
          <w:rFonts w:ascii="仿宋" w:hAnsi="仿宋" w:eastAsia="仿宋" w:cs="仿宋"/>
          <w:kern w:val="0"/>
          <w:sz w:val="28"/>
          <w:szCs w:val="28"/>
        </w:rPr>
      </w:pPr>
      <w:r>
        <w:rPr>
          <w:rFonts w:hint="eastAsia" w:ascii="仿宋" w:hAnsi="仿宋" w:eastAsia="仿宋" w:cs="仿宋"/>
          <w:kern w:val="0"/>
          <w:sz w:val="28"/>
          <w:szCs w:val="28"/>
        </w:rPr>
        <w:t>网址：http://www.gspxzx.sdnu.edu.cn/</w:t>
      </w:r>
    </w:p>
    <w:p>
      <w:pPr>
        <w:widowControl/>
        <w:shd w:val="clear" w:color="auto" w:fill="FFFFFF"/>
        <w:spacing w:line="518" w:lineRule="atLeast"/>
        <w:ind w:firstLine="677"/>
        <w:jc w:val="left"/>
        <w:rPr>
          <w:rFonts w:ascii="仿宋" w:hAnsi="仿宋" w:eastAsia="仿宋" w:cs="仿宋"/>
          <w:kern w:val="0"/>
          <w:sz w:val="28"/>
          <w:szCs w:val="28"/>
        </w:rPr>
      </w:pPr>
      <w:r>
        <w:rPr>
          <w:rFonts w:hint="eastAsia" w:ascii="仿宋" w:hAnsi="仿宋" w:eastAsia="仿宋" w:cs="仿宋"/>
          <w:kern w:val="0"/>
          <w:sz w:val="28"/>
          <w:szCs w:val="28"/>
        </w:rPr>
        <w:t>其他未尽事宜，请联系山东省高等学校师资培训中心， 0531-86180737。</w:t>
      </w:r>
    </w:p>
    <w:p>
      <w:pPr>
        <w:widowControl/>
        <w:shd w:val="clear" w:color="auto" w:fill="FFFFFF"/>
        <w:spacing w:line="518" w:lineRule="atLeast"/>
        <w:ind w:firstLine="677"/>
        <w:jc w:val="left"/>
        <w:rPr>
          <w:rFonts w:ascii="仿宋" w:hAnsi="仿宋" w:eastAsia="仿宋" w:cs="仿宋"/>
          <w:kern w:val="0"/>
          <w:sz w:val="28"/>
          <w:szCs w:val="28"/>
        </w:rPr>
      </w:pPr>
    </w:p>
    <w:p>
      <w:pPr>
        <w:widowControl/>
        <w:shd w:val="clear" w:color="auto" w:fill="FFFFFF"/>
        <w:spacing w:line="518" w:lineRule="atLeast"/>
        <w:ind w:firstLine="677"/>
        <w:jc w:val="left"/>
        <w:rPr>
          <w:rFonts w:ascii="仿宋" w:hAnsi="仿宋" w:eastAsia="仿宋" w:cs="仿宋"/>
          <w:kern w:val="0"/>
          <w:sz w:val="28"/>
          <w:szCs w:val="28"/>
        </w:rPr>
      </w:pPr>
    </w:p>
    <w:p>
      <w:pPr>
        <w:widowControl/>
        <w:jc w:val="right"/>
        <w:rPr>
          <w:rFonts w:ascii="仿宋" w:hAnsi="仿宋" w:eastAsia="仿宋" w:cs="仿宋"/>
          <w:kern w:val="0"/>
          <w:sz w:val="28"/>
          <w:szCs w:val="28"/>
        </w:rPr>
      </w:pPr>
      <w:r>
        <w:rPr>
          <w:rFonts w:hint="eastAsia" w:ascii="仿宋" w:hAnsi="仿宋" w:eastAsia="仿宋" w:cs="仿宋"/>
          <w:kern w:val="0"/>
          <w:sz w:val="28"/>
          <w:szCs w:val="28"/>
        </w:rPr>
        <w:t>山东省高等学校师资培训中心</w:t>
      </w:r>
    </w:p>
    <w:p>
      <w:pPr>
        <w:widowControl/>
        <w:wordWrap w:val="0"/>
        <w:jc w:val="right"/>
        <w:rPr>
          <w:rFonts w:ascii="仿宋" w:hAnsi="仿宋" w:eastAsia="仿宋" w:cs="仿宋"/>
          <w:kern w:val="0"/>
          <w:sz w:val="28"/>
          <w:szCs w:val="28"/>
        </w:rPr>
      </w:pPr>
      <w:r>
        <w:rPr>
          <w:rFonts w:hint="eastAsia" w:ascii="仿宋" w:hAnsi="仿宋" w:eastAsia="仿宋" w:cs="仿宋"/>
          <w:kern w:val="0"/>
          <w:sz w:val="28"/>
          <w:szCs w:val="28"/>
        </w:rPr>
        <w:t xml:space="preserve">2018年7月27日 </w:t>
      </w:r>
      <w:r>
        <w:rPr>
          <w:rFonts w:ascii="仿宋" w:hAnsi="仿宋" w:eastAsia="仿宋" w:cs="仿宋"/>
          <w:kern w:val="0"/>
          <w:sz w:val="28"/>
          <w:szCs w:val="28"/>
        </w:rPr>
        <w:t xml:space="preserve">   </w:t>
      </w:r>
    </w:p>
    <w:p>
      <w:r>
        <w:br w:type="page"/>
      </w:r>
    </w:p>
    <w:p>
      <w:pPr>
        <w:widowControl/>
        <w:spacing w:line="580" w:lineRule="exact"/>
        <w:jc w:val="left"/>
        <w:rPr>
          <w:rFonts w:ascii="黑体" w:hAnsi="黑体" w:eastAsia="黑体"/>
          <w:sz w:val="28"/>
          <w:szCs w:val="32"/>
        </w:rPr>
      </w:pPr>
      <w:bookmarkStart w:id="8" w:name="OLE_LINK1"/>
      <w:bookmarkStart w:id="9" w:name="OLE_LINK2"/>
      <w:r>
        <w:rPr>
          <w:rFonts w:hint="eastAsia" w:ascii="黑体" w:hAnsi="黑体" w:eastAsia="黑体"/>
          <w:sz w:val="28"/>
          <w:szCs w:val="32"/>
        </w:rPr>
        <w:t>附件一</w:t>
      </w:r>
    </w:p>
    <w:p>
      <w:pPr>
        <w:spacing w:line="580" w:lineRule="exact"/>
        <w:jc w:val="center"/>
        <w:rPr>
          <w:rFonts w:ascii="黑体" w:hAnsi="黑体" w:eastAsia="黑体" w:cs="雅黑"/>
          <w:color w:val="000000" w:themeColor="text1"/>
          <w:kern w:val="0"/>
          <w:sz w:val="36"/>
          <w:szCs w:val="44"/>
          <w14:textFill>
            <w14:solidFill>
              <w14:schemeClr w14:val="tx1"/>
            </w14:solidFill>
          </w14:textFill>
        </w:rPr>
      </w:pPr>
      <w:r>
        <w:rPr>
          <w:rFonts w:hint="eastAsia" w:ascii="黑体" w:hAnsi="黑体" w:eastAsia="黑体" w:cs="雅黑"/>
          <w:color w:val="000000" w:themeColor="text1"/>
          <w:kern w:val="0"/>
          <w:sz w:val="36"/>
          <w:szCs w:val="44"/>
          <w14:textFill>
            <w14:solidFill>
              <w14:schemeClr w14:val="tx1"/>
            </w14:solidFill>
          </w14:textFill>
        </w:rPr>
        <w:t>山东省高校青年教师教学比赛实施方案</w:t>
      </w:r>
    </w:p>
    <w:p>
      <w:pPr>
        <w:spacing w:line="580" w:lineRule="exact"/>
        <w:jc w:val="center"/>
        <w:rPr>
          <w:rFonts w:ascii="黑体" w:hAnsi="黑体" w:eastAsia="黑体" w:cs="宋体"/>
          <w:kern w:val="0"/>
          <w:sz w:val="32"/>
          <w:szCs w:val="32"/>
        </w:rPr>
      </w:pPr>
    </w:p>
    <w:p>
      <w:pPr>
        <w:spacing w:line="580" w:lineRule="exact"/>
        <w:ind w:firstLine="600" w:firstLineChars="200"/>
        <w:rPr>
          <w:rFonts w:ascii="仿宋" w:hAnsi="仿宋" w:eastAsia="仿宋" w:cs="宋体"/>
          <w:kern w:val="0"/>
          <w:sz w:val="28"/>
          <w:szCs w:val="32"/>
        </w:rPr>
      </w:pPr>
      <w:r>
        <w:rPr>
          <w:rFonts w:hint="eastAsia" w:ascii="仿宋" w:hAnsi="仿宋" w:eastAsia="仿宋" w:cs="宋体"/>
          <w:kern w:val="0"/>
          <w:sz w:val="28"/>
          <w:szCs w:val="32"/>
        </w:rPr>
        <w:t>比赛坚持广泛参与和择优选拔相统一，尤其注重选手的教学基本功和实际应用能力。为保证比赛的公平公开公正，确保评选程序严谨规范，特制定本实施方案。</w:t>
      </w:r>
    </w:p>
    <w:p>
      <w:pPr>
        <w:pStyle w:val="10"/>
        <w:adjustRightInd w:val="0"/>
        <w:snapToGrid w:val="0"/>
        <w:spacing w:line="580" w:lineRule="exact"/>
        <w:ind w:firstLine="600" w:firstLineChars="200"/>
        <w:rPr>
          <w:rFonts w:ascii="黑体" w:hAnsi="黑体" w:eastAsia="黑体" w:cs="宋体"/>
          <w:kern w:val="0"/>
          <w:sz w:val="28"/>
          <w:szCs w:val="32"/>
        </w:rPr>
      </w:pPr>
      <w:r>
        <w:rPr>
          <w:rFonts w:hint="eastAsia" w:ascii="黑体" w:hAnsi="黑体" w:eastAsia="黑体" w:cs="宋体"/>
          <w:kern w:val="0"/>
          <w:sz w:val="28"/>
          <w:szCs w:val="32"/>
        </w:rPr>
        <w:t>一、比赛分组</w:t>
      </w:r>
    </w:p>
    <w:p>
      <w:pPr>
        <w:pStyle w:val="10"/>
        <w:adjustRightInd w:val="0"/>
        <w:snapToGrid w:val="0"/>
        <w:spacing w:line="580" w:lineRule="exact"/>
        <w:ind w:firstLine="600" w:firstLineChars="200"/>
        <w:rPr>
          <w:rFonts w:ascii="仿宋" w:hAnsi="仿宋" w:eastAsia="仿宋" w:cs="宋体"/>
          <w:kern w:val="0"/>
          <w:sz w:val="28"/>
          <w:szCs w:val="32"/>
        </w:rPr>
      </w:pPr>
      <w:r>
        <w:rPr>
          <w:rFonts w:hint="eastAsia" w:ascii="仿宋" w:hAnsi="仿宋" w:eastAsia="仿宋" w:cs="宋体"/>
          <w:kern w:val="0"/>
          <w:sz w:val="28"/>
          <w:szCs w:val="32"/>
        </w:rPr>
        <w:t>（一）初赛。分学科门类（专业大类）分组进行，不分本科、高职。其中参赛人数不足10人的学科（含专业或专业类）与相近学科合并进行，必要时本科、高职合并进行。</w:t>
      </w:r>
    </w:p>
    <w:p>
      <w:pPr>
        <w:pStyle w:val="10"/>
        <w:adjustRightInd w:val="0"/>
        <w:snapToGrid w:val="0"/>
        <w:spacing w:line="580" w:lineRule="exact"/>
        <w:ind w:firstLine="600" w:firstLineChars="200"/>
        <w:rPr>
          <w:rFonts w:ascii="仿宋" w:hAnsi="仿宋" w:eastAsia="仿宋" w:cs="宋体"/>
          <w:kern w:val="0"/>
          <w:sz w:val="28"/>
          <w:szCs w:val="32"/>
        </w:rPr>
      </w:pPr>
      <w:r>
        <w:rPr>
          <w:rFonts w:hint="eastAsia" w:ascii="仿宋" w:hAnsi="仿宋" w:eastAsia="仿宋" w:cs="宋体"/>
          <w:kern w:val="0"/>
          <w:sz w:val="28"/>
          <w:szCs w:val="32"/>
        </w:rPr>
        <w:t>（二）复赛、决赛。设分文科、理科、工科、思政四个组别。</w:t>
      </w:r>
    </w:p>
    <w:p>
      <w:pPr>
        <w:pStyle w:val="10"/>
        <w:adjustRightInd w:val="0"/>
        <w:snapToGrid w:val="0"/>
        <w:spacing w:line="580" w:lineRule="exact"/>
        <w:jc w:val="center"/>
        <w:rPr>
          <w:rFonts w:ascii="黑体" w:hAnsi="黑体" w:eastAsia="黑体" w:cs="宋体"/>
          <w:kern w:val="0"/>
          <w:sz w:val="32"/>
          <w:szCs w:val="32"/>
        </w:rPr>
      </w:pPr>
      <w:r>
        <w:rPr>
          <w:rFonts w:hint="eastAsia" w:ascii="黑体" w:hAnsi="黑体" w:eastAsia="黑体" w:cs="宋体"/>
          <w:kern w:val="0"/>
          <w:sz w:val="32"/>
          <w:szCs w:val="32"/>
        </w:rPr>
        <w:t>组别及学科专业类别</w:t>
      </w:r>
    </w:p>
    <w:tbl>
      <w:tblPr>
        <w:tblStyle w:val="9"/>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976"/>
        <w:gridCol w:w="4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spacing w:line="580" w:lineRule="exact"/>
              <w:jc w:val="center"/>
              <w:rPr>
                <w:rFonts w:ascii="仿宋" w:hAnsi="仿宋" w:eastAsia="仿宋"/>
                <w:sz w:val="24"/>
              </w:rPr>
            </w:pPr>
            <w:r>
              <w:rPr>
                <w:rFonts w:ascii="仿宋" w:hAnsi="仿宋" w:eastAsia="仿宋"/>
                <w:sz w:val="24"/>
              </w:rPr>
              <w:t>组别</w:t>
            </w:r>
          </w:p>
        </w:tc>
        <w:tc>
          <w:tcPr>
            <w:tcW w:w="2976" w:type="dxa"/>
          </w:tcPr>
          <w:p>
            <w:pPr>
              <w:spacing w:line="580" w:lineRule="exact"/>
              <w:rPr>
                <w:rFonts w:ascii="仿宋" w:hAnsi="仿宋" w:eastAsia="仿宋"/>
                <w:sz w:val="24"/>
              </w:rPr>
            </w:pPr>
            <w:r>
              <w:rPr>
                <w:rFonts w:hint="eastAsia" w:ascii="仿宋" w:hAnsi="仿宋" w:eastAsia="仿宋"/>
                <w:sz w:val="24"/>
              </w:rPr>
              <w:t>本科（学科门类，含代号）</w:t>
            </w:r>
          </w:p>
        </w:tc>
        <w:tc>
          <w:tcPr>
            <w:tcW w:w="4251" w:type="dxa"/>
          </w:tcPr>
          <w:p>
            <w:pPr>
              <w:spacing w:line="580" w:lineRule="exact"/>
              <w:rPr>
                <w:rFonts w:ascii="仿宋" w:hAnsi="仿宋" w:eastAsia="仿宋"/>
                <w:sz w:val="24"/>
              </w:rPr>
            </w:pPr>
            <w:r>
              <w:rPr>
                <w:rFonts w:hint="eastAsia" w:ascii="仿宋" w:hAnsi="仿宋" w:eastAsia="仿宋"/>
                <w:sz w:val="24"/>
              </w:rPr>
              <w:t>高职高专（专业大类，含代号）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spacing w:line="580" w:lineRule="exact"/>
              <w:jc w:val="center"/>
              <w:rPr>
                <w:rFonts w:ascii="仿宋" w:hAnsi="仿宋" w:eastAsia="仿宋"/>
                <w:sz w:val="24"/>
              </w:rPr>
            </w:pPr>
            <w:r>
              <w:rPr>
                <w:rFonts w:ascii="仿宋" w:hAnsi="仿宋" w:eastAsia="仿宋"/>
                <w:sz w:val="24"/>
              </w:rPr>
              <w:t>文科</w:t>
            </w:r>
          </w:p>
        </w:tc>
        <w:tc>
          <w:tcPr>
            <w:tcW w:w="2976" w:type="dxa"/>
          </w:tcPr>
          <w:p>
            <w:pPr>
              <w:pStyle w:val="10"/>
              <w:adjustRightInd w:val="0"/>
              <w:snapToGrid w:val="0"/>
              <w:spacing w:line="580" w:lineRule="exact"/>
              <w:jc w:val="left"/>
              <w:rPr>
                <w:rFonts w:ascii="仿宋" w:hAnsi="仿宋" w:eastAsia="仿宋"/>
                <w:sz w:val="24"/>
              </w:rPr>
            </w:pPr>
            <w:r>
              <w:rPr>
                <w:rFonts w:hint="eastAsia" w:ascii="仿宋" w:hAnsi="仿宋" w:eastAsia="仿宋" w:cs="宋体"/>
                <w:kern w:val="0"/>
                <w:sz w:val="24"/>
              </w:rPr>
              <w:t>01哲学、02经济学、03法学、04教育学、05文学、06历史学、12管理学、13艺术学</w:t>
            </w:r>
          </w:p>
        </w:tc>
        <w:tc>
          <w:tcPr>
            <w:tcW w:w="4251" w:type="dxa"/>
          </w:tcPr>
          <w:p>
            <w:pPr>
              <w:spacing w:line="580" w:lineRule="exact"/>
              <w:rPr>
                <w:rFonts w:ascii="仿宋" w:hAnsi="仿宋" w:eastAsia="仿宋"/>
                <w:bCs/>
                <w:kern w:val="0"/>
                <w:sz w:val="24"/>
              </w:rPr>
            </w:pPr>
            <w:r>
              <w:rPr>
                <w:rFonts w:hint="eastAsia" w:ascii="仿宋" w:hAnsi="仿宋" w:eastAsia="仿宋"/>
                <w:bCs/>
                <w:kern w:val="0"/>
                <w:sz w:val="24"/>
              </w:rPr>
              <w:t>63财经商贸大类、64旅游大类、65文化艺术大类、66新闻传播大类、68公安与司法大类、69公共管理与服务大类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spacing w:line="580" w:lineRule="exact"/>
              <w:jc w:val="center"/>
              <w:rPr>
                <w:rFonts w:ascii="仿宋" w:hAnsi="仿宋" w:eastAsia="仿宋"/>
                <w:sz w:val="24"/>
              </w:rPr>
            </w:pPr>
            <w:r>
              <w:rPr>
                <w:rFonts w:ascii="仿宋" w:hAnsi="仿宋" w:eastAsia="仿宋"/>
                <w:sz w:val="24"/>
              </w:rPr>
              <w:t>理科</w:t>
            </w:r>
          </w:p>
        </w:tc>
        <w:tc>
          <w:tcPr>
            <w:tcW w:w="2976" w:type="dxa"/>
          </w:tcPr>
          <w:p>
            <w:pPr>
              <w:spacing w:line="580" w:lineRule="exact"/>
              <w:rPr>
                <w:rFonts w:ascii="仿宋" w:hAnsi="仿宋" w:eastAsia="仿宋"/>
                <w:sz w:val="24"/>
              </w:rPr>
            </w:pPr>
            <w:r>
              <w:rPr>
                <w:rFonts w:hint="eastAsia" w:ascii="仿宋" w:hAnsi="仿宋" w:eastAsia="仿宋" w:cs="宋体"/>
                <w:kern w:val="0"/>
                <w:sz w:val="24"/>
              </w:rPr>
              <w:t>07理学</w:t>
            </w:r>
          </w:p>
        </w:tc>
        <w:tc>
          <w:tcPr>
            <w:tcW w:w="4251" w:type="dxa"/>
          </w:tcPr>
          <w:p>
            <w:pPr>
              <w:spacing w:line="580" w:lineRule="exact"/>
              <w:rPr>
                <w:rFonts w:ascii="仿宋" w:hAnsi="仿宋" w:eastAsia="仿宋"/>
                <w:bCs/>
                <w:kern w:val="0"/>
                <w:sz w:val="24"/>
              </w:rPr>
            </w:pPr>
            <w:r>
              <w:rPr>
                <w:rFonts w:hint="eastAsia" w:ascii="仿宋" w:hAnsi="仿宋" w:eastAsia="仿宋"/>
                <w:bCs/>
                <w:kern w:val="0"/>
                <w:sz w:val="24"/>
              </w:rPr>
              <w:t>67教育与体育大类※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spacing w:line="580" w:lineRule="exact"/>
              <w:jc w:val="center"/>
              <w:rPr>
                <w:rFonts w:ascii="仿宋" w:hAnsi="仿宋" w:eastAsia="仿宋"/>
                <w:sz w:val="24"/>
              </w:rPr>
            </w:pPr>
            <w:r>
              <w:rPr>
                <w:rFonts w:ascii="仿宋" w:hAnsi="仿宋" w:eastAsia="仿宋"/>
                <w:sz w:val="24"/>
              </w:rPr>
              <w:t>工科</w:t>
            </w:r>
          </w:p>
        </w:tc>
        <w:tc>
          <w:tcPr>
            <w:tcW w:w="2976" w:type="dxa"/>
          </w:tcPr>
          <w:p>
            <w:pPr>
              <w:spacing w:line="580" w:lineRule="exact"/>
              <w:jc w:val="left"/>
              <w:rPr>
                <w:rFonts w:ascii="仿宋" w:hAnsi="仿宋" w:eastAsia="仿宋"/>
                <w:sz w:val="24"/>
              </w:rPr>
            </w:pPr>
            <w:r>
              <w:rPr>
                <w:rFonts w:hint="eastAsia" w:ascii="仿宋" w:hAnsi="仿宋" w:eastAsia="仿宋" w:cs="宋体"/>
                <w:kern w:val="0"/>
                <w:sz w:val="24"/>
              </w:rPr>
              <w:t>08工学、09农学、10医学</w:t>
            </w:r>
          </w:p>
        </w:tc>
        <w:tc>
          <w:tcPr>
            <w:tcW w:w="4251" w:type="dxa"/>
          </w:tcPr>
          <w:p>
            <w:pPr>
              <w:spacing w:line="580" w:lineRule="exact"/>
              <w:rPr>
                <w:rFonts w:ascii="仿宋" w:hAnsi="仿宋" w:eastAsia="仿宋"/>
                <w:sz w:val="24"/>
              </w:rPr>
            </w:pPr>
            <w:r>
              <w:rPr>
                <w:rFonts w:hint="eastAsia" w:ascii="仿宋" w:hAnsi="仿宋" w:eastAsia="仿宋"/>
                <w:bCs/>
                <w:kern w:val="0"/>
                <w:sz w:val="24"/>
              </w:rPr>
              <w:t>51农林牧渔大类、52资源环境与安全大类、53能源动力与材料大类、54土木建筑大类、55水利大类56装备制造大类、57生物与化工大类、58轻工纺织大类、59食品药品与粮食大类、60交通运输大类、61电子信息大类、62医药卫生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spacing w:line="580" w:lineRule="exact"/>
              <w:jc w:val="center"/>
              <w:rPr>
                <w:rFonts w:ascii="仿宋" w:hAnsi="仿宋" w:eastAsia="仿宋"/>
                <w:sz w:val="24"/>
              </w:rPr>
            </w:pPr>
            <w:r>
              <w:rPr>
                <w:rFonts w:hint="eastAsia" w:ascii="仿宋" w:hAnsi="仿宋" w:eastAsia="仿宋"/>
                <w:sz w:val="24"/>
              </w:rPr>
              <w:t>思政</w:t>
            </w:r>
          </w:p>
        </w:tc>
        <w:tc>
          <w:tcPr>
            <w:tcW w:w="7227" w:type="dxa"/>
            <w:gridSpan w:val="2"/>
          </w:tcPr>
          <w:p>
            <w:pPr>
              <w:spacing w:line="580" w:lineRule="exact"/>
              <w:rPr>
                <w:rFonts w:ascii="仿宋" w:hAnsi="仿宋" w:eastAsia="仿宋"/>
                <w:bCs/>
                <w:kern w:val="0"/>
                <w:sz w:val="24"/>
              </w:rPr>
            </w:pPr>
            <w:r>
              <w:rPr>
                <w:rFonts w:hint="eastAsia" w:ascii="仿宋" w:hAnsi="仿宋" w:eastAsia="仿宋"/>
                <w:bCs/>
                <w:kern w:val="0"/>
                <w:sz w:val="24"/>
              </w:rPr>
              <w:t>1、马克思主义理论课</w:t>
            </w:r>
          </w:p>
          <w:p>
            <w:pPr>
              <w:spacing w:line="580" w:lineRule="exact"/>
              <w:rPr>
                <w:rFonts w:ascii="仿宋" w:hAnsi="仿宋" w:eastAsia="仿宋"/>
                <w:bCs/>
                <w:kern w:val="0"/>
                <w:sz w:val="24"/>
              </w:rPr>
            </w:pPr>
            <w:r>
              <w:rPr>
                <w:rFonts w:hint="eastAsia" w:ascii="仿宋" w:hAnsi="仿宋" w:eastAsia="仿宋"/>
                <w:bCs/>
                <w:kern w:val="0"/>
                <w:sz w:val="24"/>
              </w:rPr>
              <w:t>（1）《马克思主义基本原理概论》</w:t>
            </w:r>
          </w:p>
          <w:p>
            <w:pPr>
              <w:spacing w:line="580" w:lineRule="exact"/>
              <w:rPr>
                <w:rFonts w:ascii="仿宋" w:hAnsi="仿宋" w:eastAsia="仿宋"/>
                <w:bCs/>
                <w:kern w:val="0"/>
                <w:sz w:val="24"/>
              </w:rPr>
            </w:pPr>
            <w:r>
              <w:rPr>
                <w:rFonts w:hint="eastAsia" w:ascii="仿宋" w:hAnsi="仿宋" w:eastAsia="仿宋"/>
                <w:bCs/>
                <w:kern w:val="0"/>
                <w:sz w:val="24"/>
              </w:rPr>
              <w:t>（2）《毛泽东思想和中国特色社会主义理论体系概论》</w:t>
            </w:r>
          </w:p>
          <w:p>
            <w:pPr>
              <w:spacing w:line="580" w:lineRule="exact"/>
              <w:rPr>
                <w:rFonts w:ascii="仿宋" w:hAnsi="仿宋" w:eastAsia="仿宋"/>
                <w:bCs/>
                <w:kern w:val="0"/>
                <w:sz w:val="24"/>
              </w:rPr>
            </w:pPr>
            <w:r>
              <w:rPr>
                <w:rFonts w:hint="eastAsia" w:ascii="仿宋" w:hAnsi="仿宋" w:eastAsia="仿宋"/>
                <w:bCs/>
                <w:kern w:val="0"/>
                <w:sz w:val="24"/>
              </w:rPr>
              <w:t>2、思想品德课</w:t>
            </w:r>
          </w:p>
          <w:p>
            <w:pPr>
              <w:spacing w:line="580" w:lineRule="exact"/>
              <w:rPr>
                <w:rFonts w:ascii="仿宋" w:hAnsi="仿宋" w:eastAsia="仿宋"/>
                <w:bCs/>
                <w:kern w:val="0"/>
                <w:sz w:val="24"/>
              </w:rPr>
            </w:pPr>
            <w:r>
              <w:rPr>
                <w:rFonts w:hint="eastAsia" w:ascii="仿宋" w:hAnsi="仿宋" w:eastAsia="仿宋"/>
                <w:bCs/>
                <w:kern w:val="0"/>
                <w:sz w:val="24"/>
              </w:rPr>
              <w:t>《思想道德修养和法律基础》</w:t>
            </w:r>
          </w:p>
          <w:p>
            <w:pPr>
              <w:spacing w:line="580" w:lineRule="exact"/>
              <w:rPr>
                <w:rFonts w:ascii="仿宋" w:hAnsi="仿宋" w:eastAsia="仿宋"/>
                <w:bCs/>
                <w:kern w:val="0"/>
                <w:sz w:val="24"/>
              </w:rPr>
            </w:pPr>
            <w:r>
              <w:rPr>
                <w:rFonts w:hint="eastAsia" w:ascii="仿宋" w:hAnsi="仿宋" w:eastAsia="仿宋"/>
                <w:bCs/>
                <w:kern w:val="0"/>
                <w:sz w:val="24"/>
              </w:rPr>
              <w:t>3、《中国近现代史纲要》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8640" w:type="dxa"/>
            <w:gridSpan w:val="3"/>
            <w:tcBorders>
              <w:top w:val="nil"/>
              <w:right w:val="single" w:color="auto" w:sz="4" w:space="0"/>
            </w:tcBorders>
          </w:tcPr>
          <w:p>
            <w:pPr>
              <w:spacing w:line="580" w:lineRule="exact"/>
              <w:rPr>
                <w:rFonts w:ascii="仿宋" w:hAnsi="仿宋" w:eastAsia="仿宋"/>
                <w:sz w:val="24"/>
              </w:rPr>
            </w:pPr>
            <w:r>
              <w:rPr>
                <w:rFonts w:hint="eastAsia" w:ascii="仿宋" w:hAnsi="仿宋" w:eastAsia="仿宋"/>
                <w:sz w:val="24"/>
              </w:rPr>
              <w:t>说明：参赛课程分组以其归属的学科门类或专业大类为唯一依据，而不依授课对象是何院系或专业的学生为依据。例：外语归人文社会科学组；数学、体育归自然科学基础组。</w:t>
            </w:r>
          </w:p>
          <w:p>
            <w:pPr>
              <w:spacing w:line="580" w:lineRule="exact"/>
              <w:rPr>
                <w:rFonts w:ascii="仿宋" w:hAnsi="仿宋" w:eastAsia="仿宋"/>
                <w:sz w:val="24"/>
              </w:rPr>
            </w:pPr>
            <w:r>
              <w:rPr>
                <w:rFonts w:hint="eastAsia" w:ascii="仿宋" w:hAnsi="仿宋" w:eastAsia="仿宋"/>
                <w:bCs/>
                <w:kern w:val="0"/>
                <w:sz w:val="24"/>
              </w:rPr>
              <w:t>※高职高专序列中的“67教育与体育大类”，按具体课程分别分组到文科组或理科组。</w:t>
            </w:r>
          </w:p>
        </w:tc>
      </w:tr>
    </w:tbl>
    <w:p>
      <w:pPr>
        <w:pStyle w:val="10"/>
        <w:adjustRightInd w:val="0"/>
        <w:snapToGrid w:val="0"/>
        <w:spacing w:line="580" w:lineRule="exact"/>
        <w:ind w:firstLine="600" w:firstLineChars="200"/>
        <w:rPr>
          <w:rFonts w:ascii="黑体" w:hAnsi="黑体" w:eastAsia="黑体" w:cs="宋体"/>
          <w:kern w:val="0"/>
          <w:sz w:val="28"/>
          <w:szCs w:val="32"/>
        </w:rPr>
      </w:pPr>
      <w:r>
        <w:rPr>
          <w:rFonts w:hint="eastAsia" w:ascii="黑体" w:hAnsi="黑体" w:eastAsia="黑体" w:cs="宋体"/>
          <w:kern w:val="0"/>
          <w:sz w:val="28"/>
          <w:szCs w:val="32"/>
        </w:rPr>
        <w:t>二、比赛要求</w:t>
      </w:r>
    </w:p>
    <w:p>
      <w:pPr>
        <w:spacing w:line="580" w:lineRule="exact"/>
        <w:ind w:firstLine="600" w:firstLineChars="200"/>
        <w:rPr>
          <w:rFonts w:ascii="仿宋_GB2312" w:hAnsi="仿宋" w:eastAsia="仿宋_GB2312" w:cs="宋体"/>
          <w:kern w:val="0"/>
          <w:sz w:val="28"/>
          <w:szCs w:val="32"/>
        </w:rPr>
      </w:pPr>
      <w:r>
        <w:rPr>
          <w:rFonts w:hint="eastAsia" w:ascii="仿宋_GB2312" w:hAnsi="仿宋" w:eastAsia="仿宋_GB2312"/>
          <w:sz w:val="28"/>
          <w:szCs w:val="32"/>
        </w:rPr>
        <w:t>（一）省级初赛</w:t>
      </w:r>
      <w:r>
        <w:rPr>
          <w:rFonts w:hint="eastAsia" w:ascii="仿宋_GB2312" w:hAnsi="仿宋" w:eastAsia="仿宋_GB2312" w:cs="宋体"/>
          <w:kern w:val="0"/>
          <w:sz w:val="28"/>
          <w:szCs w:val="32"/>
        </w:rPr>
        <w:t>。初赛依托比赛评审平台采取量化评价选手教学视频的方式进行。教育厅组织评审专家依照《山东省第五届“超星杯”高校青年教师教学比赛课堂教学评分表》（见附件3），从教学内容、教学组织、教学语言与教态、教学特色四个方面对选手进行量化评价，并写出评审意见。分学科组按比例确定复赛入围人员及优秀奖获得者。</w:t>
      </w:r>
    </w:p>
    <w:p>
      <w:pPr>
        <w:pStyle w:val="10"/>
        <w:adjustRightInd w:val="0"/>
        <w:snapToGrid w:val="0"/>
        <w:spacing w:line="580" w:lineRule="exact"/>
        <w:ind w:firstLine="600" w:firstLineChars="200"/>
        <w:rPr>
          <w:rFonts w:ascii="仿宋_GB2312" w:hAnsi="仿宋" w:eastAsia="仿宋_GB2312"/>
          <w:sz w:val="28"/>
          <w:szCs w:val="32"/>
        </w:rPr>
      </w:pPr>
      <w:r>
        <w:rPr>
          <w:rFonts w:hint="eastAsia" w:ascii="仿宋_GB2312" w:hAnsi="仿宋" w:eastAsia="仿宋_GB2312"/>
          <w:sz w:val="28"/>
          <w:szCs w:val="32"/>
        </w:rPr>
        <w:t>（二）省级复赛。</w:t>
      </w:r>
      <w:bookmarkStart w:id="10" w:name="OLE_LINK5"/>
      <w:bookmarkEnd w:id="10"/>
      <w:r>
        <w:rPr>
          <w:rFonts w:hint="eastAsia" w:ascii="仿宋_GB2312" w:hAnsi="仿宋" w:eastAsia="仿宋_GB2312" w:cs="宋体"/>
          <w:kern w:val="0"/>
          <w:sz w:val="28"/>
          <w:szCs w:val="32"/>
        </w:rPr>
        <w:t>复赛分赛区进行现场比赛。</w:t>
      </w:r>
      <w:r>
        <w:rPr>
          <w:rFonts w:hint="eastAsia" w:ascii="仿宋_GB2312" w:hAnsi="仿宋" w:eastAsia="仿宋_GB2312"/>
          <w:sz w:val="28"/>
          <w:szCs w:val="32"/>
        </w:rPr>
        <w:t>比赛内容由教学设计、课堂教学两部分组成，评分标准见附件2、3。复赛确定决赛入围人员及三等奖获得者。</w:t>
      </w:r>
    </w:p>
    <w:p>
      <w:pPr>
        <w:pStyle w:val="18"/>
        <w:spacing w:line="580" w:lineRule="exact"/>
        <w:ind w:firstLine="600" w:firstLineChars="200"/>
        <w:rPr>
          <w:rFonts w:ascii="仿宋_GB2312" w:hAnsi="仿宋" w:eastAsia="仿宋_GB2312"/>
          <w:sz w:val="28"/>
          <w:szCs w:val="32"/>
        </w:rPr>
      </w:pPr>
      <w:r>
        <w:rPr>
          <w:rFonts w:hint="eastAsia" w:ascii="仿宋_GB2312" w:hAnsi="仿宋" w:eastAsia="仿宋_GB2312"/>
          <w:sz w:val="28"/>
          <w:szCs w:val="32"/>
        </w:rPr>
        <w:t>1.教学设计</w:t>
      </w:r>
    </w:p>
    <w:p>
      <w:pPr>
        <w:pStyle w:val="18"/>
        <w:spacing w:line="580" w:lineRule="exact"/>
        <w:ind w:firstLine="600" w:firstLineChars="200"/>
        <w:rPr>
          <w:rFonts w:ascii="仿宋_GB2312" w:hAnsi="仿宋" w:eastAsia="仿宋_GB2312"/>
          <w:sz w:val="28"/>
          <w:szCs w:val="32"/>
        </w:rPr>
      </w:pPr>
      <w:r>
        <w:rPr>
          <w:rFonts w:hint="eastAsia" w:ascii="仿宋_GB2312" w:hAnsi="仿宋" w:eastAsia="仿宋_GB2312"/>
          <w:sz w:val="28"/>
          <w:szCs w:val="32"/>
        </w:rPr>
        <w:t>（1）参赛课程教学大纲，主要包含课程名称、基本信息（课程性质、教课时数、学分、授课学生对象）、课程简介、课程目标、课程内容与教学安排、课程评价、建议阅读文献等要素；</w:t>
      </w:r>
    </w:p>
    <w:p>
      <w:pPr>
        <w:pStyle w:val="18"/>
        <w:spacing w:line="580" w:lineRule="exact"/>
        <w:ind w:firstLine="600" w:firstLineChars="200"/>
        <w:rPr>
          <w:rFonts w:ascii="仿宋_GB2312" w:hAnsi="仿宋" w:eastAsia="仿宋_GB2312"/>
          <w:sz w:val="28"/>
          <w:szCs w:val="32"/>
        </w:rPr>
      </w:pPr>
      <w:r>
        <w:rPr>
          <w:rFonts w:hint="eastAsia" w:ascii="仿宋_GB2312" w:hAnsi="仿宋" w:eastAsia="仿宋_GB2312"/>
          <w:sz w:val="28"/>
          <w:szCs w:val="32"/>
        </w:rPr>
        <w:t>（2）参赛课程20个课时教学设计，主要包括每个课时教学设计名称、学情分析、教学目标、课程资源、教学内容与过程、教学评价、预习任务与课后作业等（案例见附件1）；</w:t>
      </w:r>
    </w:p>
    <w:p>
      <w:pPr>
        <w:pStyle w:val="18"/>
        <w:spacing w:line="580" w:lineRule="exact"/>
        <w:ind w:firstLine="600" w:firstLineChars="200"/>
        <w:rPr>
          <w:rFonts w:ascii="仿宋_GB2312" w:hAnsi="仿宋" w:eastAsia="仿宋_GB2312"/>
          <w:sz w:val="28"/>
          <w:szCs w:val="32"/>
        </w:rPr>
      </w:pPr>
      <w:r>
        <w:rPr>
          <w:rFonts w:hint="eastAsia" w:ascii="仿宋_GB2312" w:hAnsi="仿宋" w:eastAsia="仿宋_GB2312"/>
          <w:sz w:val="28"/>
          <w:szCs w:val="32"/>
        </w:rPr>
        <w:t>（3）参赛课程20个课时相对应的20个课堂教学节段的PPT课件；</w:t>
      </w:r>
    </w:p>
    <w:p>
      <w:pPr>
        <w:pStyle w:val="18"/>
        <w:spacing w:line="580" w:lineRule="exact"/>
        <w:ind w:firstLine="600" w:firstLineChars="200"/>
        <w:rPr>
          <w:rFonts w:ascii="仿宋_GB2312" w:hAnsi="仿宋" w:eastAsia="仿宋_GB2312"/>
          <w:sz w:val="28"/>
          <w:szCs w:val="32"/>
        </w:rPr>
      </w:pPr>
      <w:r>
        <w:rPr>
          <w:rFonts w:hint="eastAsia" w:ascii="仿宋_GB2312" w:hAnsi="仿宋" w:eastAsia="仿宋_GB2312"/>
          <w:sz w:val="28"/>
          <w:szCs w:val="32"/>
        </w:rPr>
        <w:t>（4）参赛课程20个教学节段的目录。</w:t>
      </w:r>
    </w:p>
    <w:p>
      <w:pPr>
        <w:pStyle w:val="10"/>
        <w:adjustRightInd w:val="0"/>
        <w:snapToGrid w:val="0"/>
        <w:spacing w:line="580" w:lineRule="exact"/>
        <w:ind w:firstLine="600" w:firstLineChars="200"/>
        <w:rPr>
          <w:rFonts w:ascii="仿宋_GB2312" w:hAnsi="仿宋" w:eastAsia="仿宋_GB2312"/>
          <w:sz w:val="28"/>
          <w:szCs w:val="32"/>
        </w:rPr>
      </w:pPr>
      <w:r>
        <w:rPr>
          <w:rFonts w:hint="eastAsia" w:ascii="仿宋_GB2312" w:hAnsi="仿宋" w:eastAsia="仿宋_GB2312"/>
          <w:sz w:val="28"/>
          <w:szCs w:val="32"/>
        </w:rPr>
        <w:t>2.课堂教学。课堂教学即讲授教学节段，讲授时间为20分钟（选取</w:t>
      </w:r>
      <w:r>
        <w:rPr>
          <w:rFonts w:hint="eastAsia" w:ascii="仿宋_GB2312" w:hAnsi="仿宋" w:eastAsia="仿宋_GB2312"/>
          <w:spacing w:val="-8"/>
          <w:sz w:val="28"/>
          <w:szCs w:val="32"/>
        </w:rPr>
        <w:t>课堂教学连续25</w:t>
      </w:r>
      <w:r>
        <w:rPr>
          <w:rFonts w:hint="eastAsia" w:ascii="仿宋_GB2312" w:hAnsi="仿宋" w:eastAsia="仿宋_GB2312"/>
          <w:sz w:val="28"/>
          <w:szCs w:val="32"/>
        </w:rPr>
        <w:t>分钟内的内容，不得将1个或超过1个课时的教学内容压缩成1个节段），选手将从20个教学节段中随机抽取一个进行课堂教学。用普通话授课。评委主要从教学内容、教学组织、教学语言与教态、教学特色四个方面进行评审。选手可根据需要携带教学模型、挂图等。粉笔、白板笔、翻页器等由组委会统一提供。课堂教学全程录像，视频版权归组委会所有。</w:t>
      </w:r>
    </w:p>
    <w:p>
      <w:pPr>
        <w:pStyle w:val="10"/>
        <w:adjustRightInd w:val="0"/>
        <w:snapToGrid w:val="0"/>
        <w:spacing w:line="580" w:lineRule="exact"/>
        <w:ind w:firstLine="600" w:firstLineChars="200"/>
        <w:rPr>
          <w:rFonts w:ascii="仿宋_GB2312" w:hAnsi="仿宋" w:eastAsia="仿宋_GB2312"/>
          <w:sz w:val="28"/>
          <w:szCs w:val="32"/>
        </w:rPr>
      </w:pPr>
      <w:r>
        <w:rPr>
          <w:rFonts w:hint="eastAsia" w:ascii="仿宋_GB2312" w:hAnsi="仿宋" w:eastAsia="仿宋_GB2312"/>
          <w:sz w:val="28"/>
          <w:szCs w:val="32"/>
        </w:rPr>
        <w:t>（三）省级决赛。决赛采取现场比赛的方式进行。决赛由课堂教学、教学反思两部分组成。课堂教学要求与复赛相同。教学反思要求：选手课堂教学环节结束后，结合本节段课堂教学实际，从教学理念、教学方法和教学过程三方面着手，</w:t>
      </w:r>
      <w:bookmarkStart w:id="11" w:name="OLE_LINK7"/>
      <w:r>
        <w:rPr>
          <w:rFonts w:hint="eastAsia" w:ascii="仿宋_GB2312" w:hAnsi="仿宋" w:eastAsia="仿宋_GB2312"/>
          <w:sz w:val="28"/>
          <w:szCs w:val="32"/>
        </w:rPr>
        <w:t>在规定的</w:t>
      </w:r>
      <w:bookmarkEnd w:id="11"/>
      <w:r>
        <w:rPr>
          <w:rFonts w:hint="eastAsia" w:ascii="仿宋_GB2312" w:hAnsi="仿宋" w:eastAsia="仿宋_GB2312"/>
          <w:sz w:val="28"/>
          <w:szCs w:val="32"/>
        </w:rPr>
        <w:t>2分钟内现场陈述教学反思。要求思路清晰、观点明确、联系实际，有感而发。具体评分标准见附件4。</w:t>
      </w:r>
    </w:p>
    <w:p>
      <w:pPr>
        <w:pStyle w:val="10"/>
        <w:adjustRightInd w:val="0"/>
        <w:snapToGrid w:val="0"/>
        <w:spacing w:line="580" w:lineRule="exact"/>
        <w:ind w:firstLine="600" w:firstLineChars="200"/>
        <w:rPr>
          <w:rFonts w:ascii="黑体" w:hAnsi="黑体" w:eastAsia="黑体" w:cs="宋体"/>
          <w:kern w:val="0"/>
          <w:sz w:val="28"/>
          <w:szCs w:val="32"/>
        </w:rPr>
      </w:pPr>
      <w:r>
        <w:rPr>
          <w:rFonts w:hint="eastAsia" w:ascii="黑体" w:hAnsi="黑体" w:eastAsia="黑体" w:cs="宋体"/>
          <w:kern w:val="0"/>
          <w:sz w:val="28"/>
          <w:szCs w:val="32"/>
        </w:rPr>
        <w:t>三、材料提交要求</w:t>
      </w:r>
    </w:p>
    <w:p>
      <w:pPr>
        <w:pStyle w:val="10"/>
        <w:adjustRightInd w:val="0"/>
        <w:snapToGrid w:val="0"/>
        <w:spacing w:line="580" w:lineRule="exact"/>
        <w:ind w:firstLine="600" w:firstLineChars="200"/>
        <w:rPr>
          <w:rStyle w:val="17"/>
          <w:rFonts w:ascii="仿宋_GB2312" w:hAnsi="仿宋" w:eastAsia="仿宋_GB2312" w:cs="Arial"/>
          <w:kern w:val="0"/>
          <w:sz w:val="28"/>
          <w:szCs w:val="32"/>
        </w:rPr>
      </w:pPr>
      <w:r>
        <w:rPr>
          <w:rStyle w:val="17"/>
          <w:rFonts w:hint="eastAsia" w:ascii="仿宋_GB2312" w:hAnsi="仿宋" w:eastAsia="仿宋_GB2312" w:cs="Arial"/>
          <w:kern w:val="0"/>
          <w:sz w:val="28"/>
          <w:szCs w:val="32"/>
        </w:rPr>
        <w:t>（一）初赛选手需上传</w:t>
      </w:r>
      <w:r>
        <w:rPr>
          <w:rFonts w:hint="eastAsia" w:ascii="仿宋_GB2312" w:hAnsi="仿宋" w:eastAsia="仿宋_GB2312"/>
          <w:sz w:val="28"/>
          <w:szCs w:val="32"/>
        </w:rPr>
        <w:t>比赛评审平台的材料</w:t>
      </w:r>
    </w:p>
    <w:p>
      <w:pPr>
        <w:pStyle w:val="10"/>
        <w:adjustRightInd w:val="0"/>
        <w:snapToGrid w:val="0"/>
        <w:spacing w:line="580" w:lineRule="exact"/>
        <w:ind w:firstLine="600" w:firstLineChars="200"/>
        <w:rPr>
          <w:rFonts w:ascii="仿宋_GB2312" w:hAnsi="仿宋" w:eastAsia="仿宋_GB2312"/>
          <w:sz w:val="28"/>
          <w:szCs w:val="32"/>
        </w:rPr>
      </w:pPr>
      <w:r>
        <w:rPr>
          <w:rFonts w:hint="eastAsia" w:ascii="仿宋_GB2312" w:hAnsi="仿宋" w:eastAsia="仿宋_GB2312"/>
          <w:sz w:val="28"/>
          <w:szCs w:val="32"/>
        </w:rPr>
        <w:t>1.本人身份证、高校教师资格证彩色扫描件。</w:t>
      </w:r>
    </w:p>
    <w:p>
      <w:pPr>
        <w:pStyle w:val="10"/>
        <w:adjustRightInd w:val="0"/>
        <w:snapToGrid w:val="0"/>
        <w:spacing w:line="580" w:lineRule="exact"/>
        <w:ind w:firstLine="600" w:firstLineChars="200"/>
        <w:rPr>
          <w:rFonts w:ascii="仿宋_GB2312" w:hAnsi="仿宋" w:eastAsia="仿宋_GB2312"/>
          <w:sz w:val="28"/>
          <w:szCs w:val="32"/>
        </w:rPr>
      </w:pPr>
      <w:r>
        <w:rPr>
          <w:rFonts w:hint="eastAsia" w:ascii="仿宋_GB2312" w:hAnsi="仿宋" w:eastAsia="仿宋_GB2312"/>
          <w:sz w:val="28"/>
          <w:szCs w:val="32"/>
        </w:rPr>
        <w:t>2.课堂教学视频。选手按照正常教学进度录制一节（40-50分钟时长）课堂教学视频，上传至比赛评审平台。视频制作要求：</w:t>
      </w:r>
    </w:p>
    <w:p>
      <w:pPr>
        <w:pStyle w:val="10"/>
        <w:adjustRightInd w:val="0"/>
        <w:snapToGrid w:val="0"/>
        <w:spacing w:line="580" w:lineRule="exact"/>
        <w:ind w:firstLine="600" w:firstLineChars="200"/>
        <w:rPr>
          <w:rFonts w:ascii="仿宋_GB2312" w:hAnsi="仿宋" w:eastAsia="仿宋_GB2312"/>
          <w:sz w:val="28"/>
          <w:szCs w:val="32"/>
        </w:rPr>
      </w:pPr>
      <w:r>
        <w:rPr>
          <w:rFonts w:hint="eastAsia" w:ascii="仿宋_GB2312" w:hAnsi="仿宋" w:eastAsia="仿宋_GB2312"/>
          <w:sz w:val="28"/>
          <w:szCs w:val="32"/>
        </w:rPr>
        <w:t>课堂教学视频不得</w:t>
      </w:r>
      <w:bookmarkStart w:id="12" w:name="OLE_LINK15"/>
      <w:bookmarkEnd w:id="12"/>
      <w:r>
        <w:rPr>
          <w:rFonts w:hint="eastAsia" w:ascii="仿宋_GB2312" w:hAnsi="仿宋" w:eastAsia="仿宋_GB2312"/>
          <w:sz w:val="28"/>
          <w:szCs w:val="32"/>
        </w:rPr>
        <w:t>另行剪辑，如使用摄像机拍摄只可单机（可移动）全程连续录制，如使用录播教室固定设备录制，允许使用自动切换功能。视频不得加片头、字幕、注解等，不得包含选手本人、本校教师姓名和所在学校、院系名称等信息。视频长度超出时限或出现上述情况取消参加复赛资格。视频大小限定在500M以内。视频格式为mp4，命名方式为：“学校名称”+“选手姓名”+“课程名称”.mp4。</w:t>
      </w:r>
    </w:p>
    <w:p>
      <w:pPr>
        <w:pStyle w:val="10"/>
        <w:adjustRightInd w:val="0"/>
        <w:snapToGrid w:val="0"/>
        <w:spacing w:line="580" w:lineRule="exact"/>
        <w:ind w:firstLine="600" w:firstLineChars="200"/>
        <w:rPr>
          <w:rFonts w:ascii="仿宋_GB2312" w:hAnsi="仿宋" w:eastAsia="仿宋_GB2312"/>
          <w:sz w:val="28"/>
          <w:szCs w:val="32"/>
        </w:rPr>
      </w:pPr>
      <w:r>
        <w:rPr>
          <w:rFonts w:hint="eastAsia" w:ascii="仿宋_GB2312" w:hAnsi="仿宋" w:eastAsia="仿宋_GB2312"/>
          <w:sz w:val="28"/>
          <w:szCs w:val="32"/>
        </w:rPr>
        <w:t>（二）参加复赛选手需上传比赛评审平台的材料</w:t>
      </w:r>
    </w:p>
    <w:p>
      <w:pPr>
        <w:pStyle w:val="10"/>
        <w:adjustRightInd w:val="0"/>
        <w:snapToGrid w:val="0"/>
        <w:spacing w:line="580" w:lineRule="exact"/>
        <w:ind w:firstLine="600" w:firstLineChars="200"/>
        <w:rPr>
          <w:rFonts w:ascii="仿宋_GB2312" w:hAnsi="仿宋" w:eastAsia="仿宋_GB2312"/>
          <w:sz w:val="28"/>
          <w:szCs w:val="32"/>
        </w:rPr>
      </w:pPr>
      <w:r>
        <w:rPr>
          <w:rFonts w:hint="eastAsia" w:ascii="仿宋_GB2312" w:hAnsi="仿宋" w:eastAsia="仿宋_GB2312"/>
          <w:sz w:val="28"/>
          <w:szCs w:val="32"/>
        </w:rPr>
        <w:t>1.word版参赛课程教学大纲；</w:t>
      </w:r>
    </w:p>
    <w:p>
      <w:pPr>
        <w:pStyle w:val="10"/>
        <w:adjustRightInd w:val="0"/>
        <w:snapToGrid w:val="0"/>
        <w:spacing w:line="580" w:lineRule="exact"/>
        <w:ind w:firstLine="600" w:firstLineChars="200"/>
        <w:rPr>
          <w:rFonts w:ascii="仿宋_GB2312" w:hAnsi="仿宋" w:eastAsia="仿宋_GB2312"/>
          <w:sz w:val="28"/>
          <w:szCs w:val="32"/>
        </w:rPr>
      </w:pPr>
      <w:r>
        <w:rPr>
          <w:rFonts w:hint="eastAsia" w:ascii="仿宋_GB2312" w:hAnsi="仿宋" w:eastAsia="仿宋_GB2312"/>
          <w:sz w:val="28"/>
          <w:szCs w:val="32"/>
        </w:rPr>
        <w:t>2.word版参赛课程20个课时教学设计；</w:t>
      </w:r>
    </w:p>
    <w:p>
      <w:pPr>
        <w:pStyle w:val="10"/>
        <w:adjustRightInd w:val="0"/>
        <w:snapToGrid w:val="0"/>
        <w:spacing w:line="580" w:lineRule="exact"/>
        <w:ind w:firstLine="600" w:firstLineChars="200"/>
        <w:rPr>
          <w:rFonts w:ascii="仿宋_GB2312" w:hAnsi="仿宋" w:eastAsia="仿宋_GB2312"/>
          <w:sz w:val="28"/>
          <w:szCs w:val="32"/>
        </w:rPr>
      </w:pPr>
      <w:r>
        <w:rPr>
          <w:rFonts w:hint="eastAsia" w:ascii="仿宋_GB2312" w:hAnsi="仿宋" w:eastAsia="仿宋_GB2312"/>
          <w:sz w:val="28"/>
          <w:szCs w:val="32"/>
        </w:rPr>
        <w:t>3.参赛课程20个课堂教学节段课件（PowerPoint制作），与20个课时一一对应；</w:t>
      </w:r>
    </w:p>
    <w:p>
      <w:pPr>
        <w:pStyle w:val="10"/>
        <w:adjustRightInd w:val="0"/>
        <w:snapToGrid w:val="0"/>
        <w:spacing w:line="580" w:lineRule="exact"/>
        <w:ind w:firstLine="600" w:firstLineChars="200"/>
        <w:rPr>
          <w:rFonts w:ascii="仿宋_GB2312" w:hAnsi="仿宋" w:eastAsia="仿宋_GB2312"/>
          <w:sz w:val="28"/>
          <w:szCs w:val="32"/>
        </w:rPr>
      </w:pPr>
      <w:r>
        <w:rPr>
          <w:rFonts w:hint="eastAsia" w:ascii="仿宋_GB2312" w:hAnsi="仿宋" w:eastAsia="仿宋_GB2312"/>
          <w:sz w:val="28"/>
          <w:szCs w:val="32"/>
        </w:rPr>
        <w:t>4.word版参赛课程20个教学节段目录。</w:t>
      </w:r>
    </w:p>
    <w:p>
      <w:pPr>
        <w:pStyle w:val="10"/>
        <w:adjustRightInd w:val="0"/>
        <w:snapToGrid w:val="0"/>
        <w:spacing w:line="580" w:lineRule="exact"/>
        <w:ind w:firstLine="600" w:firstLineChars="200"/>
        <w:rPr>
          <w:rFonts w:ascii="仿宋_GB2312" w:hAnsi="仿宋" w:eastAsia="仿宋_GB2312"/>
          <w:sz w:val="28"/>
          <w:szCs w:val="32"/>
        </w:rPr>
      </w:pPr>
      <w:r>
        <w:rPr>
          <w:rFonts w:hint="eastAsia" w:ascii="仿宋_GB2312" w:hAnsi="仿宋" w:eastAsia="仿宋_GB2312"/>
          <w:sz w:val="28"/>
          <w:szCs w:val="32"/>
        </w:rPr>
        <w:t>（三）参加决赛选手无需报送材料。</w:t>
      </w:r>
    </w:p>
    <w:p>
      <w:pPr>
        <w:pStyle w:val="10"/>
        <w:adjustRightInd w:val="0"/>
        <w:snapToGrid w:val="0"/>
        <w:spacing w:line="580" w:lineRule="exact"/>
        <w:ind w:firstLine="600" w:firstLineChars="200"/>
        <w:rPr>
          <w:rFonts w:ascii="仿宋_GB2312" w:hAnsi="仿宋" w:eastAsia="仿宋_GB2312"/>
          <w:sz w:val="28"/>
          <w:szCs w:val="32"/>
        </w:rPr>
      </w:pPr>
      <w:r>
        <w:rPr>
          <w:rFonts w:hint="eastAsia" w:ascii="仿宋_GB2312" w:hAnsi="仿宋" w:eastAsia="仿宋_GB2312"/>
          <w:sz w:val="28"/>
          <w:szCs w:val="32"/>
        </w:rPr>
        <w:t>（四）学校需上传比赛评审平台的材料。</w:t>
      </w:r>
      <w:r>
        <w:fldChar w:fldCharType="begin"/>
      </w:r>
      <w:r>
        <w:instrText xml:space="preserve"> HYPERLINK "http://www.sdedu.gov.cn/sdjy/_zcwj/924705/2016111714212279454.docx" </w:instrText>
      </w:r>
      <w:r>
        <w:fldChar w:fldCharType="separate"/>
      </w:r>
      <w:r>
        <w:rPr>
          <w:rFonts w:hint="eastAsia" w:ascii="仿宋_GB2312" w:hAnsi="仿宋" w:eastAsia="仿宋_GB2312"/>
          <w:sz w:val="28"/>
          <w:szCs w:val="32"/>
        </w:rPr>
        <w:t>第五届山东省高校青年教师教学比赛推荐选手汇总表</w:t>
      </w:r>
      <w:r>
        <w:rPr>
          <w:rFonts w:hint="eastAsia" w:ascii="仿宋_GB2312" w:hAnsi="仿宋" w:eastAsia="仿宋_GB2312"/>
          <w:sz w:val="28"/>
          <w:szCs w:val="32"/>
        </w:rPr>
        <w:fldChar w:fldCharType="end"/>
      </w:r>
      <w:r>
        <w:rPr>
          <w:rFonts w:hint="eastAsia" w:ascii="仿宋_GB2312" w:hAnsi="仿宋" w:eastAsia="仿宋_GB2312"/>
          <w:sz w:val="28"/>
          <w:szCs w:val="32"/>
        </w:rPr>
        <w:t>。</w:t>
      </w:r>
    </w:p>
    <w:p>
      <w:pPr>
        <w:pStyle w:val="10"/>
        <w:adjustRightInd w:val="0"/>
        <w:snapToGrid w:val="0"/>
        <w:spacing w:line="580" w:lineRule="exact"/>
        <w:ind w:firstLine="600" w:firstLineChars="200"/>
        <w:rPr>
          <w:rFonts w:ascii="黑体" w:hAnsi="黑体" w:eastAsia="黑体" w:cs="宋体"/>
          <w:kern w:val="0"/>
          <w:sz w:val="28"/>
          <w:szCs w:val="32"/>
        </w:rPr>
      </w:pPr>
      <w:r>
        <w:rPr>
          <w:rFonts w:hint="eastAsia" w:ascii="黑体" w:hAnsi="黑体" w:eastAsia="黑体" w:cs="宋体"/>
          <w:kern w:val="0"/>
          <w:sz w:val="28"/>
          <w:szCs w:val="32"/>
        </w:rPr>
        <w:t>四、其他事项</w:t>
      </w:r>
    </w:p>
    <w:p>
      <w:pPr>
        <w:pStyle w:val="10"/>
        <w:adjustRightInd w:val="0"/>
        <w:snapToGrid w:val="0"/>
        <w:spacing w:line="580" w:lineRule="exact"/>
        <w:ind w:firstLine="600" w:firstLineChars="200"/>
        <w:rPr>
          <w:rFonts w:ascii="仿宋_GB2312" w:hAnsi="仿宋" w:eastAsia="仿宋_GB2312"/>
          <w:sz w:val="28"/>
          <w:szCs w:val="32"/>
        </w:rPr>
      </w:pPr>
      <w:bookmarkStart w:id="13" w:name="OLE_LINK17"/>
      <w:bookmarkEnd w:id="13"/>
      <w:r>
        <w:rPr>
          <w:rFonts w:hint="eastAsia" w:ascii="仿宋_GB2312" w:hAnsi="仿宋" w:eastAsia="仿宋_GB2312"/>
          <w:sz w:val="28"/>
          <w:szCs w:val="32"/>
        </w:rPr>
        <w:t>（一）参赛选手的参赛课程应为其本校正常开设、不少于36课时、不低于2个学分的课程。</w:t>
      </w:r>
    </w:p>
    <w:p>
      <w:pPr>
        <w:pStyle w:val="10"/>
        <w:adjustRightInd w:val="0"/>
        <w:snapToGrid w:val="0"/>
        <w:spacing w:line="580" w:lineRule="exact"/>
        <w:ind w:firstLine="600" w:firstLineChars="200"/>
        <w:rPr>
          <w:rFonts w:ascii="仿宋_GB2312" w:hAnsi="仿宋" w:eastAsia="仿宋_GB2312"/>
          <w:sz w:val="28"/>
          <w:szCs w:val="32"/>
        </w:rPr>
      </w:pPr>
      <w:r>
        <w:rPr>
          <w:rFonts w:hint="eastAsia" w:ascii="仿宋_GB2312" w:hAnsi="仿宋" w:eastAsia="仿宋_GB2312"/>
          <w:sz w:val="28"/>
          <w:szCs w:val="32"/>
        </w:rPr>
        <w:t>（二）教学节段。教学节段特指课堂教学连续25分钟内所需要讲授的教学内容，凡超过25分钟或设计成1个课时及以上的，取消复赛资格。</w:t>
      </w:r>
    </w:p>
    <w:p>
      <w:pPr>
        <w:pStyle w:val="10"/>
        <w:adjustRightInd w:val="0"/>
        <w:snapToGrid w:val="0"/>
        <w:spacing w:line="580" w:lineRule="exact"/>
        <w:ind w:firstLine="600" w:firstLineChars="200"/>
        <w:rPr>
          <w:rFonts w:ascii="仿宋_GB2312" w:hAnsi="仿宋" w:eastAsia="仿宋_GB2312"/>
          <w:sz w:val="28"/>
          <w:szCs w:val="32"/>
        </w:rPr>
      </w:pPr>
      <w:r>
        <w:rPr>
          <w:rFonts w:hint="eastAsia" w:ascii="仿宋_GB2312" w:hAnsi="仿宋" w:eastAsia="仿宋_GB2312"/>
          <w:sz w:val="28"/>
          <w:szCs w:val="32"/>
        </w:rPr>
        <w:t>（三）选手在课堂教学环节以及提交的所有供评委评审的比赛材料中不得出现选手姓名、学校及院系名称等信息，否则取消参赛资格。</w:t>
      </w:r>
    </w:p>
    <w:p>
      <w:pPr>
        <w:pStyle w:val="10"/>
        <w:adjustRightInd w:val="0"/>
        <w:snapToGrid w:val="0"/>
        <w:spacing w:line="580" w:lineRule="exact"/>
        <w:ind w:firstLine="600" w:firstLineChars="200"/>
        <w:rPr>
          <w:rFonts w:ascii="仿宋_GB2312" w:hAnsi="仿宋" w:eastAsia="仿宋_GB2312"/>
          <w:sz w:val="28"/>
          <w:szCs w:val="32"/>
        </w:rPr>
      </w:pPr>
      <w:bookmarkStart w:id="14" w:name="OLE_LINK19"/>
      <w:bookmarkEnd w:id="14"/>
      <w:r>
        <w:rPr>
          <w:rFonts w:hint="eastAsia" w:ascii="仿宋_GB2312" w:hAnsi="仿宋" w:eastAsia="仿宋_GB2312"/>
          <w:sz w:val="28"/>
          <w:szCs w:val="32"/>
        </w:rPr>
        <w:t>（四）复（决）赛不安排现场观摩，承办单位可根据条件设置观摩室，组织师生观看比赛实况现场直播。</w:t>
      </w:r>
    </w:p>
    <w:p>
      <w:pPr>
        <w:pStyle w:val="10"/>
        <w:adjustRightInd w:val="0"/>
        <w:snapToGrid w:val="0"/>
        <w:spacing w:line="580" w:lineRule="exact"/>
        <w:ind w:firstLine="600" w:firstLineChars="200"/>
        <w:rPr>
          <w:rFonts w:ascii="仿宋_GB2312" w:hAnsi="仿宋" w:eastAsia="仿宋_GB2312"/>
          <w:sz w:val="28"/>
          <w:szCs w:val="32"/>
        </w:rPr>
      </w:pPr>
      <w:r>
        <w:rPr>
          <w:rFonts w:hint="eastAsia" w:ascii="仿宋_GB2312" w:hAnsi="仿宋" w:eastAsia="仿宋_GB2312"/>
          <w:sz w:val="28"/>
          <w:szCs w:val="32"/>
        </w:rPr>
        <w:t>（五）组委会将在比赛前一天，召开参加复（决）赛选手会议。</w:t>
      </w:r>
    </w:p>
    <w:p>
      <w:pPr>
        <w:pStyle w:val="10"/>
        <w:adjustRightInd w:val="0"/>
        <w:snapToGrid w:val="0"/>
        <w:spacing w:line="580" w:lineRule="exact"/>
        <w:ind w:firstLine="600" w:firstLineChars="200"/>
        <w:rPr>
          <w:rFonts w:ascii="仿宋_GB2312" w:hAnsi="仿宋" w:eastAsia="仿宋_GB2312"/>
          <w:sz w:val="28"/>
          <w:szCs w:val="32"/>
        </w:rPr>
      </w:pPr>
      <w:r>
        <w:rPr>
          <w:rFonts w:hint="eastAsia" w:ascii="仿宋_GB2312" w:hAnsi="仿宋" w:eastAsia="仿宋_GB2312"/>
          <w:sz w:val="28"/>
          <w:szCs w:val="32"/>
        </w:rPr>
        <w:t>（六）复（决）赛现场提供</w:t>
      </w:r>
      <w:bookmarkStart w:id="15" w:name="OLE_LINK18"/>
      <w:r>
        <w:rPr>
          <w:rFonts w:hint="eastAsia" w:ascii="仿宋_GB2312" w:hAnsi="仿宋" w:eastAsia="仿宋_GB2312"/>
          <w:sz w:val="28"/>
          <w:szCs w:val="32"/>
        </w:rPr>
        <w:t>多媒体</w:t>
      </w:r>
      <w:bookmarkEnd w:id="15"/>
      <w:r>
        <w:rPr>
          <w:rFonts w:hint="eastAsia" w:ascii="仿宋_GB2312" w:hAnsi="仿宋" w:eastAsia="仿宋_GB2312"/>
          <w:sz w:val="28"/>
          <w:szCs w:val="32"/>
        </w:rPr>
        <w:t>教学环境，并安装Windows10、Microsoft Office2013（专业版）。选手需在提供的多媒体教学环境中选取课堂教学用软件。</w:t>
      </w:r>
    </w:p>
    <w:p>
      <w:pPr>
        <w:pStyle w:val="18"/>
        <w:spacing w:line="580" w:lineRule="exact"/>
        <w:ind w:left="158" w:leftChars="69" w:firstLine="600" w:firstLineChars="200"/>
        <w:rPr>
          <w:rFonts w:ascii="仿宋_GB2312" w:hAnsi="仿宋" w:eastAsia="仿宋_GB2312"/>
          <w:sz w:val="28"/>
          <w:szCs w:val="32"/>
        </w:rPr>
      </w:pPr>
    </w:p>
    <w:p>
      <w:pPr>
        <w:pStyle w:val="18"/>
        <w:spacing w:line="580" w:lineRule="exact"/>
        <w:ind w:left="158" w:leftChars="69" w:firstLine="600" w:firstLineChars="200"/>
        <w:rPr>
          <w:rFonts w:ascii="仿宋_GB2312" w:hAnsi="仿宋" w:eastAsia="仿宋_GB2312"/>
          <w:sz w:val="28"/>
          <w:szCs w:val="32"/>
        </w:rPr>
      </w:pPr>
      <w:r>
        <w:rPr>
          <w:rFonts w:hint="eastAsia" w:ascii="仿宋_GB2312" w:hAnsi="仿宋" w:eastAsia="仿宋_GB2312"/>
          <w:sz w:val="28"/>
          <w:szCs w:val="32"/>
        </w:rPr>
        <w:t>附件:</w:t>
      </w:r>
    </w:p>
    <w:p>
      <w:pPr>
        <w:pStyle w:val="18"/>
        <w:spacing w:line="580" w:lineRule="exact"/>
        <w:ind w:left="158" w:leftChars="69" w:firstLine="600" w:firstLineChars="200"/>
        <w:rPr>
          <w:rFonts w:ascii="仿宋_GB2312" w:hAnsi="仿宋" w:eastAsia="仿宋_GB2312"/>
          <w:sz w:val="28"/>
          <w:szCs w:val="32"/>
        </w:rPr>
      </w:pPr>
      <w:r>
        <w:rPr>
          <w:rFonts w:hint="eastAsia" w:ascii="仿宋_GB2312" w:hAnsi="仿宋" w:eastAsia="仿宋_GB2312"/>
          <w:sz w:val="28"/>
          <w:szCs w:val="32"/>
        </w:rPr>
        <w:t>1.山东省第五届“超星杯”高校青年教师教学比赛教学设计范例及具体要求</w:t>
      </w:r>
    </w:p>
    <w:p>
      <w:pPr>
        <w:pStyle w:val="18"/>
        <w:spacing w:line="580" w:lineRule="exact"/>
        <w:ind w:left="158" w:leftChars="69" w:firstLine="600" w:firstLineChars="200"/>
        <w:rPr>
          <w:rFonts w:ascii="仿宋_GB2312" w:hAnsi="仿宋" w:eastAsia="仿宋_GB2312"/>
          <w:sz w:val="28"/>
          <w:szCs w:val="32"/>
        </w:rPr>
      </w:pPr>
      <w:r>
        <w:rPr>
          <w:rFonts w:hint="eastAsia" w:ascii="仿宋_GB2312" w:hAnsi="仿宋" w:eastAsia="仿宋_GB2312"/>
          <w:sz w:val="28"/>
          <w:szCs w:val="32"/>
        </w:rPr>
        <w:t>2.山东省第五届“超星杯”高校青年教师教学比赛教学设计方案评分表</w:t>
      </w:r>
    </w:p>
    <w:p>
      <w:pPr>
        <w:pStyle w:val="18"/>
        <w:spacing w:line="580" w:lineRule="exact"/>
        <w:ind w:left="158" w:leftChars="69" w:firstLine="600" w:firstLineChars="200"/>
        <w:rPr>
          <w:rFonts w:ascii="仿宋_GB2312" w:hAnsi="仿宋" w:eastAsia="仿宋_GB2312"/>
          <w:sz w:val="28"/>
          <w:szCs w:val="32"/>
        </w:rPr>
      </w:pPr>
      <w:r>
        <w:rPr>
          <w:rFonts w:hint="eastAsia" w:ascii="仿宋_GB2312" w:hAnsi="仿宋" w:eastAsia="仿宋_GB2312"/>
          <w:sz w:val="28"/>
          <w:szCs w:val="32"/>
        </w:rPr>
        <w:t>3.山东省第五届“超星杯”高校青年教师教学比赛课堂教学评分表</w:t>
      </w:r>
    </w:p>
    <w:p>
      <w:pPr>
        <w:pStyle w:val="18"/>
        <w:spacing w:line="580" w:lineRule="exact"/>
        <w:ind w:left="158" w:leftChars="69" w:firstLine="600" w:firstLineChars="200"/>
        <w:rPr>
          <w:rFonts w:ascii="仿宋_GB2312" w:hAnsi="仿宋" w:eastAsia="仿宋_GB2312"/>
          <w:sz w:val="28"/>
          <w:szCs w:val="32"/>
        </w:rPr>
      </w:pPr>
      <w:r>
        <w:rPr>
          <w:rFonts w:hint="eastAsia" w:ascii="仿宋_GB2312" w:hAnsi="仿宋" w:eastAsia="仿宋_GB2312"/>
          <w:sz w:val="28"/>
          <w:szCs w:val="32"/>
        </w:rPr>
        <w:t>4.山东省第五届“超星杯”高校青年教师教学比赛课堂教学反思评分表</w:t>
      </w:r>
    </w:p>
    <w:p>
      <w:pPr>
        <w:widowControl/>
        <w:spacing w:line="580" w:lineRule="exact"/>
        <w:jc w:val="left"/>
        <w:rPr>
          <w:rFonts w:ascii="仿宋" w:hAnsi="仿宋" w:eastAsia="仿宋"/>
          <w:sz w:val="32"/>
          <w:szCs w:val="32"/>
        </w:rPr>
      </w:pPr>
      <w:r>
        <w:rPr>
          <w:rFonts w:hint="eastAsia" w:ascii="仿宋_GB2312" w:eastAsia="仿宋_GB2312" w:hAnsiTheme="minorEastAsia"/>
          <w:kern w:val="0"/>
          <w:sz w:val="32"/>
          <w:szCs w:val="32"/>
        </w:rPr>
        <w:br w:type="page"/>
      </w:r>
      <w:r>
        <w:rPr>
          <w:rFonts w:hint="eastAsia" w:ascii="黑体" w:hAnsi="黑体" w:eastAsia="黑体"/>
          <w:sz w:val="32"/>
          <w:szCs w:val="32"/>
        </w:rPr>
        <w:t>附件1</w:t>
      </w:r>
    </w:p>
    <w:p>
      <w:pPr>
        <w:spacing w:line="580" w:lineRule="exact"/>
        <w:jc w:val="center"/>
        <w:rPr>
          <w:rFonts w:ascii="黑体" w:hAnsi="黑体" w:eastAsia="黑体" w:cs="雅黑"/>
          <w:color w:val="000000" w:themeColor="text1"/>
          <w:kern w:val="0"/>
          <w:sz w:val="36"/>
          <w:szCs w:val="44"/>
          <w14:textFill>
            <w14:solidFill>
              <w14:schemeClr w14:val="tx1"/>
            </w14:solidFill>
          </w14:textFill>
        </w:rPr>
      </w:pPr>
      <w:r>
        <w:rPr>
          <w:rFonts w:hint="eastAsia" w:ascii="黑体" w:hAnsi="黑体" w:eastAsia="黑体" w:cs="雅黑"/>
          <w:color w:val="000000" w:themeColor="text1"/>
          <w:kern w:val="0"/>
          <w:sz w:val="36"/>
          <w:szCs w:val="44"/>
          <w14:textFill>
            <w14:solidFill>
              <w14:schemeClr w14:val="tx1"/>
            </w14:solidFill>
          </w14:textFill>
        </w:rPr>
        <w:t>山东省高校青年教师教学比赛实施方案</w:t>
      </w:r>
    </w:p>
    <w:p>
      <w:pPr>
        <w:widowControl/>
        <w:spacing w:line="580" w:lineRule="exact"/>
        <w:jc w:val="center"/>
        <w:rPr>
          <w:rFonts w:ascii="黑体" w:hAnsi="黑体" w:eastAsia="黑体" w:cs="雅黑"/>
          <w:color w:val="000000" w:themeColor="text1"/>
          <w:kern w:val="0"/>
          <w:sz w:val="36"/>
          <w:szCs w:val="44"/>
          <w14:textFill>
            <w14:solidFill>
              <w14:schemeClr w14:val="tx1"/>
            </w14:solidFill>
          </w14:textFill>
        </w:rPr>
      </w:pPr>
      <w:r>
        <w:rPr>
          <w:rFonts w:hint="eastAsia" w:ascii="黑体" w:hAnsi="黑体" w:eastAsia="黑体" w:cs="雅黑"/>
          <w:color w:val="000000" w:themeColor="text1"/>
          <w:kern w:val="0"/>
          <w:sz w:val="36"/>
          <w:szCs w:val="44"/>
          <w14:textFill>
            <w14:solidFill>
              <w14:schemeClr w14:val="tx1"/>
            </w14:solidFill>
          </w14:textFill>
        </w:rPr>
        <w:t>教学设计范例及具体要求教学设计范例目录</w:t>
      </w:r>
    </w:p>
    <w:p>
      <w:pPr>
        <w:spacing w:line="580" w:lineRule="exact"/>
        <w:jc w:val="center"/>
        <w:rPr>
          <w:rFonts w:cs="仿宋" w:asciiTheme="minorEastAsia" w:hAnsiTheme="minorEastAsia" w:eastAsiaTheme="minorEastAsia"/>
          <w:bCs/>
          <w:kern w:val="0"/>
          <w:sz w:val="24"/>
        </w:rPr>
      </w:pPr>
    </w:p>
    <w:p>
      <w:pPr>
        <w:spacing w:line="580" w:lineRule="exact"/>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《高级生物化学》教学大纲中基本教学内容共10章，此次教学设计的20个节段分别选自第1、2、3、4、5、6、7、8、9和10章。</w:t>
      </w:r>
    </w:p>
    <w:p>
      <w:pPr>
        <w:spacing w:line="580" w:lineRule="exact"/>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1. 稳定蛋白质结构的作用力…………………………………………………… 1</w:t>
      </w:r>
    </w:p>
    <w:p>
      <w:pPr>
        <w:spacing w:line="580" w:lineRule="exact"/>
        <w:ind w:firstLine="260" w:firstLineChars="100"/>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选自第一章：蛋白质生物化学/第一节：蛋白质的分子结构</w:t>
      </w:r>
    </w:p>
    <w:p>
      <w:pPr>
        <w:spacing w:line="580" w:lineRule="exac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2. 一级结构是空间构象的基础………………………………………………… 5</w:t>
      </w:r>
    </w:p>
    <w:p>
      <w:pPr>
        <w:spacing w:line="580" w:lineRule="exact"/>
        <w:ind w:firstLine="260" w:firstLineChars="100"/>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选自第一章：蛋白质生物化学/第三节：蛋白质结构与功能的关系</w:t>
      </w:r>
    </w:p>
    <w:p>
      <w:pPr>
        <w:spacing w:line="580" w:lineRule="exact"/>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3. 血红蛋白……………………………………………………………………… 9</w:t>
      </w:r>
    </w:p>
    <w:p>
      <w:pPr>
        <w:spacing w:line="580" w:lineRule="exact"/>
        <w:ind w:firstLine="260" w:firstLineChars="100"/>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选自第一章：蛋白质生物化学/第四节：蛋白质的功能</w:t>
      </w:r>
    </w:p>
    <w:p>
      <w:pPr>
        <w:spacing w:line="580" w:lineRule="exact"/>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4. DNA 是遗传物质的基础 …………………………………………………… 13</w:t>
      </w:r>
    </w:p>
    <w:p>
      <w:pPr>
        <w:spacing w:line="580" w:lineRule="exact"/>
        <w:ind w:firstLine="260" w:firstLineChars="100"/>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选自第二章：核酸生物化学/第二节：DNA的空间结构与功能</w:t>
      </w:r>
    </w:p>
    <w:p>
      <w:pPr>
        <w:spacing w:line="580" w:lineRule="exact"/>
        <w:jc w:val="left"/>
        <w:rPr>
          <w:rFonts w:cs="仿宋" w:asciiTheme="minorEastAsia" w:hAnsiTheme="minorEastAsia" w:eastAsiaTheme="minorEastAsia"/>
          <w:bCs/>
          <w:kern w:val="0"/>
          <w:sz w:val="24"/>
        </w:rPr>
      </w:pPr>
      <w:r>
        <w:rPr>
          <w:rFonts w:cs="仿宋" w:asciiTheme="minorEastAsia" w:hAnsiTheme="minorEastAsia" w:eastAsiaTheme="minorEastAsia"/>
          <w:bCs/>
          <w:kern w:val="0"/>
          <w:sz w:val="24"/>
        </w:rPr>
        <w:t>5.RNAi……………………………………………………………………………</w:t>
      </w:r>
      <w:r>
        <w:rPr>
          <w:rFonts w:hint="eastAsia" w:cs="仿宋" w:asciiTheme="minorEastAsia" w:hAnsiTheme="minorEastAsia" w:eastAsiaTheme="minorEastAsia"/>
          <w:bCs/>
          <w:kern w:val="0"/>
          <w:sz w:val="24"/>
        </w:rPr>
        <w:t xml:space="preserve"> </w:t>
      </w:r>
      <w:r>
        <w:rPr>
          <w:rFonts w:cs="仿宋" w:asciiTheme="minorEastAsia" w:hAnsiTheme="minorEastAsia" w:eastAsiaTheme="minorEastAsia"/>
          <w:bCs/>
          <w:kern w:val="0"/>
          <w:sz w:val="24"/>
        </w:rPr>
        <w:t>17</w:t>
      </w:r>
    </w:p>
    <w:p>
      <w:pPr>
        <w:spacing w:line="580" w:lineRule="exact"/>
        <w:ind w:firstLine="260" w:firstLineChars="100"/>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选自第二章：核酸生物化学/第四节：核酸的研究进展</w:t>
      </w:r>
    </w:p>
    <w:p>
      <w:pPr>
        <w:spacing w:line="580" w:lineRule="exact"/>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6. 酶的活性中心 ……………………………………………………………… 21</w:t>
      </w:r>
    </w:p>
    <w:p>
      <w:pPr>
        <w:spacing w:line="580" w:lineRule="exact"/>
        <w:ind w:firstLine="260" w:firstLineChars="100"/>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选自第三章：酶的作用原理/第一节：酶的分子结构与功能</w:t>
      </w:r>
    </w:p>
    <w:p>
      <w:pPr>
        <w:spacing w:line="580" w:lineRule="exact"/>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7. 酶作用机制的实例(胰凝乳蛋白酶) ……………………………………… 25</w:t>
      </w:r>
    </w:p>
    <w:p>
      <w:pPr>
        <w:spacing w:line="580" w:lineRule="exact"/>
        <w:ind w:firstLine="260" w:firstLineChars="100"/>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选自第三章：酶的作用原理/第二节：酶的工作原理</w:t>
      </w:r>
    </w:p>
    <w:p>
      <w:pPr>
        <w:spacing w:line="580" w:lineRule="exact"/>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8. 糖的无氧氧化 ……………………………………………………………… 29</w:t>
      </w:r>
    </w:p>
    <w:p>
      <w:pPr>
        <w:spacing w:line="580" w:lineRule="exact"/>
        <w:ind w:firstLine="260" w:firstLineChars="100"/>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选自第四章：糖代谢/第二节: 糖的无氧代谢</w:t>
      </w:r>
    </w:p>
    <w:p>
      <w:pPr>
        <w:spacing w:line="580" w:lineRule="exact"/>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9. 三羧酸循环 ………………………………………………………………… 33</w:t>
      </w:r>
    </w:p>
    <w:p>
      <w:pPr>
        <w:spacing w:line="580" w:lineRule="exact"/>
        <w:ind w:firstLine="260" w:firstLineChars="100"/>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选自第四章：糖代谢/第三节：糖的有氧氧化</w:t>
      </w:r>
    </w:p>
    <w:p>
      <w:pPr>
        <w:spacing w:line="580" w:lineRule="exact"/>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10. 血糖及其调………………………………………………………………… 37</w:t>
      </w:r>
    </w:p>
    <w:p>
      <w:pPr>
        <w:spacing w:line="580" w:lineRule="exact"/>
        <w:ind w:firstLine="260" w:firstLineChars="100"/>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选自第四章：糖代谢/第八节：血糖及其调节</w:t>
      </w:r>
    </w:p>
    <w:p>
      <w:pPr>
        <w:spacing w:line="580" w:lineRule="exact"/>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11. 甘油三酯的分解代谢……………………………………………………… 41</w:t>
      </w:r>
    </w:p>
    <w:p>
      <w:pPr>
        <w:spacing w:line="580" w:lineRule="exact"/>
        <w:ind w:firstLine="260" w:firstLineChars="100"/>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选自第五章：代谢调节/第一节：甘油三脂代谢</w:t>
      </w:r>
    </w:p>
    <w:p>
      <w:pPr>
        <w:spacing w:line="580" w:lineRule="exact"/>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12. 酮体的生成和利用………………………………………………………… 45</w:t>
      </w:r>
    </w:p>
    <w:p>
      <w:pPr>
        <w:spacing w:line="580" w:lineRule="exact"/>
        <w:ind w:firstLine="260" w:firstLineChars="100"/>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选自第五章：代谢调节/第二节：脂酸的其他代谢</w:t>
      </w:r>
    </w:p>
    <w:p>
      <w:pPr>
        <w:spacing w:line="580" w:lineRule="exact"/>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13. 泛素介导的蛋白质降……………………………………………………… 49</w:t>
      </w:r>
    </w:p>
    <w:p>
      <w:pPr>
        <w:spacing w:line="580" w:lineRule="exact"/>
        <w:ind w:firstLine="260" w:firstLineChars="100"/>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选自第五章：代谢调节/第三节：蛋白质的消化、吸收和降解</w:t>
      </w:r>
    </w:p>
    <w:p>
      <w:pPr>
        <w:spacing w:line="580" w:lineRule="exact"/>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14. 氧化磷酸化偶联机………………………………………………………… 53</w:t>
      </w:r>
    </w:p>
    <w:p>
      <w:pPr>
        <w:spacing w:line="580" w:lineRule="exact"/>
        <w:ind w:firstLine="260" w:firstLineChars="100"/>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选自第六章：生物氧化/第一节：生成 ATP 的氧化磷酸化关键酶体系</w:t>
      </w:r>
    </w:p>
    <w:p>
      <w:pPr>
        <w:spacing w:line="580" w:lineRule="exact"/>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15. 物质代谢的相互联系……………………………………………………… 57</w:t>
      </w:r>
    </w:p>
    <w:p>
      <w:pPr>
        <w:spacing w:line="580" w:lineRule="exact"/>
        <w:ind w:firstLine="252" w:firstLineChars="100"/>
        <w:jc w:val="left"/>
        <w:rPr>
          <w:rFonts w:cs="仿宋" w:asciiTheme="minorEastAsia" w:hAnsiTheme="minorEastAsia" w:eastAsiaTheme="minorEastAsia"/>
          <w:bCs/>
          <w:spacing w:val="-4"/>
          <w:kern w:val="0"/>
          <w:sz w:val="24"/>
        </w:rPr>
      </w:pPr>
      <w:r>
        <w:rPr>
          <w:rFonts w:hint="eastAsia" w:cs="仿宋" w:asciiTheme="minorEastAsia" w:hAnsiTheme="minorEastAsia" w:eastAsiaTheme="minorEastAsia"/>
          <w:bCs/>
          <w:spacing w:val="-4"/>
          <w:kern w:val="0"/>
          <w:sz w:val="24"/>
        </w:rPr>
        <w:t>选自第七章：物质代谢的联系与调节/第一节：生成 ATP 的氧化磷酸化酶体系</w:t>
      </w:r>
    </w:p>
    <w:p>
      <w:pPr>
        <w:spacing w:line="580" w:lineRule="exact"/>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16. 端粒和端粒酶……………………………………………………………… 61</w:t>
      </w:r>
    </w:p>
    <w:p>
      <w:pPr>
        <w:spacing w:line="580" w:lineRule="exact"/>
        <w:ind w:firstLine="260" w:firstLineChars="100"/>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选自第八章：遗传信息传递的中心法则/第一节：DNA 的生物合成</w:t>
      </w:r>
    </w:p>
    <w:p>
      <w:pPr>
        <w:spacing w:line="580" w:lineRule="exact"/>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17. 真核生物 RNA 转录产物的加工 ………………………………………… 65</w:t>
      </w:r>
    </w:p>
    <w:p>
      <w:pPr>
        <w:spacing w:line="580" w:lineRule="exact"/>
        <w:ind w:firstLine="260" w:firstLineChars="100"/>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选自第八章：遗传信息传递的中心法则/第二节：RNA 的生物合成</w:t>
      </w:r>
    </w:p>
    <w:p>
      <w:pPr>
        <w:spacing w:line="580" w:lineRule="exact"/>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18. 肽链的生物合成过程……………………………………………………… 69</w:t>
      </w:r>
    </w:p>
    <w:p>
      <w:pPr>
        <w:spacing w:line="580" w:lineRule="exact"/>
        <w:ind w:firstLine="260" w:firstLineChars="100"/>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选自第八章：遗传信息传递的中心法则/第三节：蛋白质的生物合成</w:t>
      </w:r>
    </w:p>
    <w:p>
      <w:pPr>
        <w:spacing w:line="580" w:lineRule="exact"/>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19. 操纵子调控模型…………………………………………………………… 73</w:t>
      </w:r>
    </w:p>
    <w:p>
      <w:pPr>
        <w:spacing w:line="580" w:lineRule="exact"/>
        <w:ind w:firstLine="260" w:firstLineChars="100"/>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选自第九章：基因表达调控/第三节：原核基因表达调节</w:t>
      </w:r>
    </w:p>
    <w:p>
      <w:pPr>
        <w:spacing w:line="580" w:lineRule="exact"/>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20. 油菜素内酯的信号转导模式……………………………………………… 77</w:t>
      </w:r>
    </w:p>
    <w:p>
      <w:pPr>
        <w:spacing w:line="580" w:lineRule="exact"/>
        <w:ind w:firstLine="260" w:firstLineChars="100"/>
        <w:jc w:val="left"/>
        <w:rPr>
          <w:rFonts w:cs="仿宋" w:asciiTheme="minorEastAsia" w:hAnsiTheme="minorEastAsia" w:eastAsiaTheme="minorEastAsia"/>
          <w:bCs/>
          <w:kern w:val="0"/>
          <w:sz w:val="24"/>
        </w:rPr>
      </w:pPr>
      <w:r>
        <w:rPr>
          <w:rFonts w:hint="eastAsia" w:cs="仿宋" w:asciiTheme="minorEastAsia" w:hAnsiTheme="minorEastAsia" w:eastAsiaTheme="minorEastAsia"/>
          <w:bCs/>
          <w:kern w:val="0"/>
          <w:sz w:val="24"/>
        </w:rPr>
        <w:t>选自第十章：细胞信号转导/第四节：植物激素及其受体的研究进展</w:t>
      </w:r>
    </w:p>
    <w:p>
      <w:pPr>
        <w:spacing w:line="580" w:lineRule="exact"/>
        <w:ind w:firstLine="260" w:firstLineChars="100"/>
        <w:jc w:val="left"/>
        <w:rPr>
          <w:rFonts w:asciiTheme="minorEastAsia" w:hAnsiTheme="minorEastAsia" w:eastAsiaTheme="minorEastAsia"/>
          <w:sz w:val="24"/>
        </w:rPr>
      </w:pPr>
    </w:p>
    <w:p>
      <w:pPr>
        <w:spacing w:before="292" w:beforeLines="50" w:line="580" w:lineRule="exact"/>
        <w:ind w:firstLine="760" w:firstLineChars="200"/>
        <w:jc w:val="center"/>
        <w:rPr>
          <w:rFonts w:ascii="黑体" w:hAnsi="黑体" w:eastAsia="黑体" w:cs="雅黑"/>
          <w:color w:val="000000" w:themeColor="text1"/>
          <w:kern w:val="0"/>
          <w:sz w:val="36"/>
          <w:szCs w:val="44"/>
          <w14:textFill>
            <w14:solidFill>
              <w14:schemeClr w14:val="tx1"/>
            </w14:solidFill>
          </w14:textFill>
        </w:rPr>
      </w:pPr>
      <w:r>
        <w:rPr>
          <w:rFonts w:hint="eastAsia" w:ascii="黑体" w:hAnsi="黑体" w:eastAsia="黑体" w:cs="雅黑"/>
          <w:color w:val="000000" w:themeColor="text1"/>
          <w:kern w:val="0"/>
          <w:sz w:val="36"/>
          <w:szCs w:val="44"/>
          <w14:textFill>
            <w14:solidFill>
              <w14:schemeClr w14:val="tx1"/>
            </w14:solidFill>
          </w14:textFill>
        </w:rPr>
        <w:t>教学设计选取的具体要求</w:t>
      </w:r>
    </w:p>
    <w:tbl>
      <w:tblPr>
        <w:tblStyle w:val="8"/>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9"/>
        <w:gridCol w:w="365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99" w:type="dxa"/>
            <w:shd w:val="clear" w:color="auto" w:fill="auto"/>
          </w:tcPr>
          <w:p>
            <w:pPr>
              <w:spacing w:line="580" w:lineRule="exact"/>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参赛课程使用的课本章、节数情况</w:t>
            </w:r>
          </w:p>
        </w:tc>
        <w:tc>
          <w:tcPr>
            <w:tcW w:w="3656" w:type="dxa"/>
            <w:shd w:val="clear" w:color="auto" w:fill="auto"/>
          </w:tcPr>
          <w:p>
            <w:pPr>
              <w:spacing w:line="580" w:lineRule="exact"/>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20个课时教学设计选取范围</w:t>
            </w:r>
          </w:p>
        </w:tc>
        <w:tc>
          <w:tcPr>
            <w:tcW w:w="1843" w:type="dxa"/>
            <w:shd w:val="clear" w:color="auto" w:fill="auto"/>
          </w:tcPr>
          <w:p>
            <w:pPr>
              <w:spacing w:line="580" w:lineRule="exact"/>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课程讲授课时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99" w:type="dxa"/>
            <w:shd w:val="clear" w:color="auto" w:fill="auto"/>
          </w:tcPr>
          <w:p>
            <w:pPr>
              <w:spacing w:line="580" w:lineRule="exact"/>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多于20章</w:t>
            </w:r>
          </w:p>
        </w:tc>
        <w:tc>
          <w:tcPr>
            <w:tcW w:w="3656" w:type="dxa"/>
            <w:shd w:val="clear" w:color="auto" w:fill="auto"/>
          </w:tcPr>
          <w:p>
            <w:pPr>
              <w:spacing w:line="580" w:lineRule="exact"/>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在20章中选取，每章1个</w:t>
            </w:r>
          </w:p>
        </w:tc>
        <w:tc>
          <w:tcPr>
            <w:tcW w:w="1843" w:type="dxa"/>
            <w:vMerge w:val="restart"/>
            <w:shd w:val="clear" w:color="auto" w:fill="auto"/>
            <w:vAlign w:val="center"/>
          </w:tcPr>
          <w:p>
            <w:pPr>
              <w:spacing w:line="580" w:lineRule="exact"/>
              <w:jc w:val="center"/>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大于36课时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99" w:type="dxa"/>
            <w:shd w:val="clear" w:color="auto" w:fill="auto"/>
          </w:tcPr>
          <w:p>
            <w:pPr>
              <w:spacing w:line="580" w:lineRule="exact"/>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等于20章</w:t>
            </w:r>
          </w:p>
        </w:tc>
        <w:tc>
          <w:tcPr>
            <w:tcW w:w="3656" w:type="dxa"/>
            <w:shd w:val="clear" w:color="auto" w:fill="auto"/>
          </w:tcPr>
          <w:p>
            <w:pPr>
              <w:spacing w:line="580" w:lineRule="exact"/>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在全部的章中选取，每章1个</w:t>
            </w:r>
          </w:p>
        </w:tc>
        <w:tc>
          <w:tcPr>
            <w:tcW w:w="1843" w:type="dxa"/>
            <w:vMerge w:val="continue"/>
            <w:shd w:val="clear" w:color="auto" w:fill="auto"/>
          </w:tcPr>
          <w:p>
            <w:pPr>
              <w:spacing w:line="580" w:lineRule="exact"/>
              <w:rPr>
                <w:rFonts w:cs="华文仿宋"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99" w:type="dxa"/>
            <w:shd w:val="clear" w:color="auto" w:fill="auto"/>
          </w:tcPr>
          <w:p>
            <w:pPr>
              <w:spacing w:line="580" w:lineRule="exact"/>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少于20章、多于20节</w:t>
            </w:r>
          </w:p>
        </w:tc>
        <w:tc>
          <w:tcPr>
            <w:tcW w:w="3656" w:type="dxa"/>
            <w:shd w:val="clear" w:color="auto" w:fill="auto"/>
          </w:tcPr>
          <w:p>
            <w:pPr>
              <w:spacing w:line="580" w:lineRule="exact"/>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覆盖所有章、在20节中选取</w:t>
            </w:r>
          </w:p>
        </w:tc>
        <w:tc>
          <w:tcPr>
            <w:tcW w:w="1843" w:type="dxa"/>
            <w:vMerge w:val="continue"/>
            <w:shd w:val="clear" w:color="auto" w:fill="auto"/>
          </w:tcPr>
          <w:p>
            <w:pPr>
              <w:spacing w:line="580" w:lineRule="exact"/>
              <w:rPr>
                <w:rFonts w:cs="华文仿宋"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3999" w:type="dxa"/>
            <w:shd w:val="clear" w:color="auto" w:fill="auto"/>
          </w:tcPr>
          <w:p>
            <w:pPr>
              <w:spacing w:line="580" w:lineRule="exact"/>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少于20章、等于或少于20节</w:t>
            </w:r>
          </w:p>
        </w:tc>
        <w:tc>
          <w:tcPr>
            <w:tcW w:w="3656" w:type="dxa"/>
            <w:shd w:val="clear" w:color="auto" w:fill="auto"/>
          </w:tcPr>
          <w:p>
            <w:pPr>
              <w:spacing w:line="580" w:lineRule="exact"/>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覆盖所有章、节</w:t>
            </w:r>
          </w:p>
        </w:tc>
        <w:tc>
          <w:tcPr>
            <w:tcW w:w="1843" w:type="dxa"/>
            <w:vMerge w:val="continue"/>
            <w:shd w:val="clear" w:color="auto" w:fill="auto"/>
          </w:tcPr>
          <w:p>
            <w:pPr>
              <w:spacing w:line="580" w:lineRule="exact"/>
              <w:rPr>
                <w:rFonts w:cs="华文仿宋" w:asciiTheme="minorEastAsia" w:hAnsiTheme="minorEastAsia" w:eastAsiaTheme="minorEastAsia"/>
                <w:kern w:val="0"/>
                <w:sz w:val="24"/>
              </w:rPr>
            </w:pPr>
          </w:p>
        </w:tc>
      </w:tr>
    </w:tbl>
    <w:p>
      <w:pPr>
        <w:pStyle w:val="19"/>
        <w:spacing w:line="580" w:lineRule="exact"/>
        <w:ind w:firstLine="0" w:firstLineChars="0"/>
        <w:jc w:val="left"/>
        <w:rPr>
          <w:rFonts w:asciiTheme="minorEastAsia" w:hAnsiTheme="minorEastAsia" w:eastAsiaTheme="minorEastAsia"/>
          <w:sz w:val="24"/>
          <w:szCs w:val="24"/>
        </w:rPr>
      </w:pPr>
    </w:p>
    <w:p>
      <w:pPr>
        <w:spacing w:line="580" w:lineRule="exact"/>
        <w:rPr>
          <w:rFonts w:cs="Arial" w:asciiTheme="minorEastAsia" w:hAnsiTheme="minorEastAsia" w:eastAsiaTheme="minorEastAsia"/>
          <w:kern w:val="0"/>
          <w:sz w:val="24"/>
        </w:rPr>
      </w:pPr>
    </w:p>
    <w:p>
      <w:pPr>
        <w:spacing w:line="580" w:lineRule="exact"/>
        <w:rPr>
          <w:rFonts w:cs="Arial" w:asciiTheme="minorEastAsia" w:hAnsiTheme="minorEastAsia" w:eastAsiaTheme="minorEastAsia"/>
          <w:kern w:val="0"/>
          <w:sz w:val="24"/>
        </w:rPr>
      </w:pPr>
    </w:p>
    <w:p>
      <w:pPr>
        <w:spacing w:line="580" w:lineRule="exact"/>
        <w:rPr>
          <w:rFonts w:cs="Arial" w:asciiTheme="minorEastAsia" w:hAnsiTheme="minorEastAsia" w:eastAsiaTheme="minorEastAsia"/>
          <w:kern w:val="0"/>
          <w:sz w:val="24"/>
        </w:rPr>
      </w:pPr>
    </w:p>
    <w:p>
      <w:pPr>
        <w:spacing w:line="580" w:lineRule="exact"/>
        <w:rPr>
          <w:rFonts w:cs="Arial" w:asciiTheme="minorEastAsia" w:hAnsiTheme="minorEastAsia" w:eastAsiaTheme="minorEastAsia"/>
          <w:kern w:val="0"/>
          <w:sz w:val="24"/>
        </w:rPr>
      </w:pPr>
    </w:p>
    <w:p>
      <w:pPr>
        <w:spacing w:line="580" w:lineRule="exact"/>
        <w:rPr>
          <w:rFonts w:asciiTheme="minorEastAsia" w:hAnsiTheme="minorEastAsia" w:eastAsiaTheme="minorEastAsia"/>
          <w:kern w:val="0"/>
          <w:sz w:val="24"/>
        </w:rPr>
      </w:pPr>
    </w:p>
    <w:p>
      <w:pPr>
        <w:spacing w:line="580" w:lineRule="exact"/>
        <w:rPr>
          <w:rFonts w:asciiTheme="minorEastAsia" w:hAnsiTheme="minorEastAsia" w:eastAsiaTheme="minorEastAsia"/>
          <w:kern w:val="0"/>
          <w:sz w:val="24"/>
        </w:rPr>
      </w:pPr>
    </w:p>
    <w:p>
      <w:pPr>
        <w:spacing w:line="580" w:lineRule="exact"/>
        <w:rPr>
          <w:rFonts w:asciiTheme="minorEastAsia" w:hAnsiTheme="minorEastAsia" w:eastAsiaTheme="minorEastAsia"/>
          <w:kern w:val="0"/>
          <w:sz w:val="24"/>
        </w:rPr>
      </w:pPr>
    </w:p>
    <w:p>
      <w:pPr>
        <w:widowControl/>
        <w:spacing w:line="580" w:lineRule="exact"/>
        <w:jc w:val="left"/>
        <w:rPr>
          <w:rFonts w:ascii="黑体" w:hAnsi="黑体" w:eastAsia="黑体"/>
          <w:sz w:val="32"/>
          <w:szCs w:val="32"/>
        </w:rPr>
      </w:pPr>
      <w:r>
        <w:rPr>
          <w:rFonts w:asciiTheme="minorEastAsia" w:hAnsiTheme="minorEastAsia" w:eastAsiaTheme="minorEastAsia"/>
          <w:kern w:val="0"/>
          <w:sz w:val="24"/>
        </w:rPr>
        <w:br w:type="page"/>
      </w:r>
      <w:r>
        <w:rPr>
          <w:rFonts w:hint="eastAsia" w:ascii="黑体" w:hAnsi="黑体" w:eastAsia="黑体"/>
          <w:sz w:val="32"/>
          <w:szCs w:val="32"/>
        </w:rPr>
        <w:t>附件2</w:t>
      </w:r>
    </w:p>
    <w:p>
      <w:pPr>
        <w:spacing w:line="580" w:lineRule="exact"/>
        <w:jc w:val="center"/>
        <w:rPr>
          <w:rFonts w:ascii="黑体" w:hAnsi="黑体" w:eastAsia="黑体" w:cs="雅黑"/>
          <w:color w:val="000000" w:themeColor="text1"/>
          <w:kern w:val="0"/>
          <w:sz w:val="36"/>
          <w:szCs w:val="44"/>
          <w14:textFill>
            <w14:solidFill>
              <w14:schemeClr w14:val="tx1"/>
            </w14:solidFill>
          </w14:textFill>
        </w:rPr>
      </w:pPr>
      <w:r>
        <w:rPr>
          <w:rFonts w:hint="eastAsia" w:ascii="黑体" w:hAnsi="黑体" w:eastAsia="黑体" w:cs="雅黑"/>
          <w:color w:val="000000" w:themeColor="text1"/>
          <w:kern w:val="0"/>
          <w:sz w:val="36"/>
          <w:szCs w:val="44"/>
          <w14:textFill>
            <w14:solidFill>
              <w14:schemeClr w14:val="tx1"/>
            </w14:solidFill>
          </w14:textFill>
        </w:rPr>
        <w:t>山东省高校青年教师教学比赛实施方案</w:t>
      </w:r>
    </w:p>
    <w:p>
      <w:pPr>
        <w:spacing w:line="580" w:lineRule="exact"/>
        <w:jc w:val="center"/>
        <w:rPr>
          <w:rFonts w:ascii="黑体" w:hAnsi="黑体" w:eastAsia="黑体" w:cs="雅黑"/>
          <w:color w:val="000000" w:themeColor="text1"/>
          <w:kern w:val="0"/>
          <w:sz w:val="36"/>
          <w:szCs w:val="44"/>
          <w14:textFill>
            <w14:solidFill>
              <w14:schemeClr w14:val="tx1"/>
            </w14:solidFill>
          </w14:textFill>
        </w:rPr>
      </w:pPr>
      <w:r>
        <w:rPr>
          <w:rFonts w:hint="eastAsia" w:ascii="黑体" w:hAnsi="黑体" w:eastAsia="黑体" w:cs="雅黑"/>
          <w:color w:val="000000" w:themeColor="text1"/>
          <w:kern w:val="0"/>
          <w:sz w:val="36"/>
          <w:szCs w:val="44"/>
          <w14:textFill>
            <w14:solidFill>
              <w14:schemeClr w14:val="tx1"/>
            </w14:solidFill>
          </w14:textFill>
        </w:rPr>
        <w:t>教学设计方案评分表</w:t>
      </w:r>
    </w:p>
    <w:p>
      <w:pPr>
        <w:widowControl/>
        <w:spacing w:line="400" w:lineRule="atLeast"/>
        <w:rPr>
          <w:rFonts w:ascii="仿宋_GB2312"/>
          <w:color w:val="000000"/>
          <w:kern w:val="0"/>
          <w:sz w:val="28"/>
          <w:szCs w:val="28"/>
          <w:u w:val="single"/>
        </w:rPr>
      </w:pPr>
      <w:r>
        <w:rPr>
          <w:rFonts w:hint="eastAsia" w:ascii="仿宋_GB2312" w:hAnsi="宋体"/>
          <w:color w:val="000000"/>
          <w:kern w:val="0"/>
          <w:sz w:val="28"/>
          <w:szCs w:val="28"/>
        </w:rPr>
        <w:t>选手编号：</w:t>
      </w:r>
      <w:r>
        <w:rPr>
          <w:rFonts w:ascii="仿宋_GB2312" w:hAnsi="宋体"/>
          <w:color w:val="000000"/>
          <w:kern w:val="0"/>
          <w:sz w:val="28"/>
          <w:szCs w:val="28"/>
          <w:u w:val="single"/>
        </w:rPr>
        <w:t xml:space="preserve">             </w:t>
      </w:r>
    </w:p>
    <w:tbl>
      <w:tblPr>
        <w:tblStyle w:val="8"/>
        <w:tblW w:w="8852" w:type="dxa"/>
        <w:jc w:val="center"/>
        <w:tblInd w:w="0" w:type="dxa"/>
        <w:tblLayout w:type="fixed"/>
        <w:tblCellMar>
          <w:top w:w="0" w:type="dxa"/>
          <w:left w:w="108" w:type="dxa"/>
          <w:bottom w:w="0" w:type="dxa"/>
          <w:right w:w="108" w:type="dxa"/>
        </w:tblCellMar>
      </w:tblPr>
      <w:tblGrid>
        <w:gridCol w:w="1403"/>
        <w:gridCol w:w="5670"/>
        <w:gridCol w:w="889"/>
        <w:gridCol w:w="890"/>
      </w:tblGrid>
      <w:tr>
        <w:tblPrEx>
          <w:tblLayout w:type="fixed"/>
          <w:tblCellMar>
            <w:top w:w="0" w:type="dxa"/>
            <w:left w:w="108" w:type="dxa"/>
            <w:bottom w:w="0" w:type="dxa"/>
            <w:right w:w="108" w:type="dxa"/>
          </w:tblCellMar>
        </w:tblPrEx>
        <w:trPr>
          <w:trHeight w:val="854" w:hRule="atLeast"/>
          <w:jc w:val="center"/>
        </w:trPr>
        <w:tc>
          <w:tcPr>
            <w:tcW w:w="1403"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黑体" w:eastAsia="黑体"/>
                <w:color w:val="000000"/>
                <w:kern w:val="0"/>
                <w:sz w:val="28"/>
                <w:szCs w:val="28"/>
              </w:rPr>
            </w:pPr>
            <w:r>
              <w:rPr>
                <w:rFonts w:hint="eastAsia" w:ascii="黑体" w:hAnsi="宋体" w:eastAsia="黑体"/>
                <w:color w:val="000000"/>
                <w:kern w:val="0"/>
                <w:sz w:val="28"/>
                <w:szCs w:val="28"/>
              </w:rPr>
              <w:t>项目</w:t>
            </w:r>
          </w:p>
        </w:tc>
        <w:tc>
          <w:tcPr>
            <w:tcW w:w="5670" w:type="dxa"/>
            <w:tcBorders>
              <w:top w:val="single" w:color="000000" w:sz="4" w:space="0"/>
              <w:left w:val="nil"/>
              <w:bottom w:val="single" w:color="000000" w:sz="4" w:space="0"/>
              <w:right w:val="single" w:color="000000" w:sz="4" w:space="0"/>
            </w:tcBorders>
            <w:vAlign w:val="center"/>
          </w:tcPr>
          <w:p>
            <w:pPr>
              <w:spacing w:line="480" w:lineRule="exact"/>
              <w:jc w:val="center"/>
              <w:rPr>
                <w:rFonts w:ascii="黑体" w:eastAsia="黑体"/>
                <w:color w:val="000000"/>
                <w:kern w:val="0"/>
                <w:sz w:val="28"/>
                <w:szCs w:val="28"/>
              </w:rPr>
            </w:pPr>
            <w:r>
              <w:rPr>
                <w:rFonts w:hint="eastAsia" w:ascii="黑体" w:hAnsi="宋体" w:eastAsia="黑体"/>
                <w:color w:val="000000"/>
                <w:kern w:val="0"/>
                <w:sz w:val="28"/>
                <w:szCs w:val="28"/>
              </w:rPr>
              <w:t>评测要求</w:t>
            </w:r>
          </w:p>
        </w:tc>
        <w:tc>
          <w:tcPr>
            <w:tcW w:w="889" w:type="dxa"/>
            <w:tcBorders>
              <w:top w:val="single" w:color="000000" w:sz="4" w:space="0"/>
              <w:left w:val="nil"/>
              <w:bottom w:val="single" w:color="000000" w:sz="4" w:space="0"/>
              <w:right w:val="single" w:color="000000" w:sz="4" w:space="0"/>
            </w:tcBorders>
            <w:vAlign w:val="center"/>
          </w:tcPr>
          <w:p>
            <w:pPr>
              <w:spacing w:line="480" w:lineRule="exact"/>
              <w:jc w:val="center"/>
              <w:rPr>
                <w:rFonts w:ascii="黑体" w:eastAsia="黑体"/>
                <w:color w:val="000000"/>
                <w:kern w:val="0"/>
                <w:sz w:val="28"/>
                <w:szCs w:val="28"/>
              </w:rPr>
            </w:pPr>
            <w:r>
              <w:rPr>
                <w:rFonts w:hint="eastAsia" w:ascii="黑体" w:hAnsi="宋体" w:eastAsia="黑体"/>
                <w:color w:val="000000"/>
                <w:kern w:val="0"/>
                <w:sz w:val="28"/>
                <w:szCs w:val="28"/>
              </w:rPr>
              <w:t>分值</w:t>
            </w:r>
          </w:p>
        </w:tc>
        <w:tc>
          <w:tcPr>
            <w:tcW w:w="890" w:type="dxa"/>
            <w:tcBorders>
              <w:top w:val="single" w:color="000000" w:sz="4" w:space="0"/>
              <w:left w:val="nil"/>
              <w:bottom w:val="single" w:color="000000" w:sz="4" w:space="0"/>
              <w:right w:val="single" w:color="000000" w:sz="4" w:space="0"/>
            </w:tcBorders>
            <w:vAlign w:val="center"/>
          </w:tcPr>
          <w:p>
            <w:pPr>
              <w:spacing w:line="480" w:lineRule="exact"/>
              <w:jc w:val="center"/>
              <w:rPr>
                <w:rFonts w:ascii="黑体" w:eastAsia="黑体"/>
                <w:color w:val="000000"/>
                <w:kern w:val="0"/>
                <w:sz w:val="28"/>
                <w:szCs w:val="28"/>
              </w:rPr>
            </w:pPr>
            <w:r>
              <w:rPr>
                <w:rFonts w:hint="eastAsia" w:ascii="黑体" w:hAnsi="宋体" w:eastAsia="黑体"/>
                <w:color w:val="000000"/>
                <w:kern w:val="0"/>
                <w:sz w:val="28"/>
                <w:szCs w:val="28"/>
              </w:rPr>
              <w:t>得分</w:t>
            </w:r>
          </w:p>
        </w:tc>
      </w:tr>
      <w:tr>
        <w:tblPrEx>
          <w:tblLayout w:type="fixed"/>
          <w:tblCellMar>
            <w:top w:w="0" w:type="dxa"/>
            <w:left w:w="108" w:type="dxa"/>
            <w:bottom w:w="0" w:type="dxa"/>
            <w:right w:w="108" w:type="dxa"/>
          </w:tblCellMar>
        </w:tblPrEx>
        <w:trPr>
          <w:trHeight w:val="624" w:hRule="exact"/>
          <w:jc w:val="center"/>
        </w:trPr>
        <w:tc>
          <w:tcPr>
            <w:tcW w:w="1403" w:type="dxa"/>
            <w:vMerge w:val="restart"/>
            <w:tcBorders>
              <w:top w:val="nil"/>
              <w:left w:val="single" w:color="000000" w:sz="4" w:space="0"/>
              <w:bottom w:val="single" w:color="000000" w:sz="4" w:space="0"/>
              <w:right w:val="single" w:color="000000" w:sz="4" w:space="0"/>
            </w:tcBorders>
            <w:vAlign w:val="center"/>
          </w:tcPr>
          <w:p>
            <w:pPr>
              <w:spacing w:line="480" w:lineRule="exact"/>
              <w:jc w:val="center"/>
              <w:rPr>
                <w:rFonts w:ascii="仿宋_GB2312"/>
                <w:color w:val="000000"/>
                <w:kern w:val="0"/>
                <w:sz w:val="28"/>
                <w:szCs w:val="28"/>
              </w:rPr>
            </w:pPr>
            <w:r>
              <w:rPr>
                <w:rFonts w:hint="eastAsia" w:ascii="仿宋_GB2312" w:hAnsi="宋体"/>
                <w:color w:val="000000"/>
                <w:kern w:val="0"/>
                <w:sz w:val="28"/>
                <w:szCs w:val="28"/>
              </w:rPr>
              <w:t>教学</w:t>
            </w:r>
            <w:r>
              <w:rPr>
                <w:rFonts w:ascii="仿宋_GB2312" w:hAnsi="宋体"/>
                <w:color w:val="000000"/>
                <w:kern w:val="0"/>
                <w:sz w:val="28"/>
                <w:szCs w:val="28"/>
              </w:rPr>
              <w:t xml:space="preserve">       </w:t>
            </w:r>
            <w:r>
              <w:rPr>
                <w:rFonts w:hint="eastAsia" w:ascii="仿宋_GB2312" w:hAnsi="宋体"/>
                <w:color w:val="000000"/>
                <w:kern w:val="0"/>
                <w:sz w:val="28"/>
                <w:szCs w:val="28"/>
              </w:rPr>
              <w:t>设计</w:t>
            </w:r>
          </w:p>
          <w:p>
            <w:pPr>
              <w:spacing w:line="480" w:lineRule="exact"/>
              <w:jc w:val="center"/>
              <w:rPr>
                <w:rFonts w:ascii="仿宋_GB2312"/>
                <w:color w:val="000000"/>
                <w:kern w:val="0"/>
                <w:sz w:val="28"/>
                <w:szCs w:val="28"/>
              </w:rPr>
            </w:pPr>
            <w:r>
              <w:rPr>
                <w:rFonts w:hint="eastAsia" w:ascii="仿宋_GB2312" w:hAnsi="宋体"/>
                <w:color w:val="000000"/>
                <w:kern w:val="0"/>
                <w:sz w:val="28"/>
                <w:szCs w:val="28"/>
              </w:rPr>
              <w:t>方案</w:t>
            </w:r>
            <w:r>
              <w:rPr>
                <w:rFonts w:ascii="仿宋_GB2312" w:hAnsi="宋体"/>
                <w:color w:val="000000"/>
                <w:kern w:val="0"/>
                <w:sz w:val="28"/>
                <w:szCs w:val="28"/>
              </w:rPr>
              <w:t xml:space="preserve">     </w:t>
            </w:r>
            <w:r>
              <w:rPr>
                <w:rFonts w:hint="eastAsia" w:ascii="仿宋_GB2312" w:hAnsi="宋体"/>
                <w:color w:val="000000"/>
                <w:kern w:val="0"/>
                <w:sz w:val="28"/>
                <w:szCs w:val="28"/>
              </w:rPr>
              <w:t>（20分）</w:t>
            </w:r>
          </w:p>
        </w:tc>
        <w:tc>
          <w:tcPr>
            <w:tcW w:w="5670" w:type="dxa"/>
            <w:tcBorders>
              <w:top w:val="nil"/>
              <w:left w:val="nil"/>
              <w:bottom w:val="single" w:color="000000" w:sz="4" w:space="0"/>
              <w:right w:val="single" w:color="000000" w:sz="4" w:space="0"/>
            </w:tcBorders>
            <w:vAlign w:val="center"/>
          </w:tcPr>
          <w:p>
            <w:pPr>
              <w:spacing w:line="480" w:lineRule="exact"/>
              <w:jc w:val="left"/>
              <w:rPr>
                <w:rFonts w:ascii="仿宋_GB2312"/>
                <w:color w:val="000000"/>
                <w:kern w:val="0"/>
                <w:sz w:val="28"/>
                <w:szCs w:val="28"/>
              </w:rPr>
            </w:pPr>
            <w:r>
              <w:rPr>
                <w:rFonts w:hint="eastAsia" w:ascii="仿宋_GB2312" w:hAnsi="宋体"/>
                <w:color w:val="000000"/>
                <w:kern w:val="0"/>
                <w:sz w:val="28"/>
                <w:szCs w:val="28"/>
              </w:rPr>
              <w:t>符合教学大纲，内容充实，反映学科前沿。</w:t>
            </w:r>
          </w:p>
        </w:tc>
        <w:tc>
          <w:tcPr>
            <w:tcW w:w="889" w:type="dxa"/>
            <w:tcBorders>
              <w:top w:val="nil"/>
              <w:left w:val="nil"/>
              <w:bottom w:val="single" w:color="000000" w:sz="4" w:space="0"/>
              <w:right w:val="single" w:color="000000" w:sz="4" w:space="0"/>
            </w:tcBorders>
            <w:vAlign w:val="center"/>
          </w:tcPr>
          <w:p>
            <w:pPr>
              <w:spacing w:line="480" w:lineRule="exact"/>
              <w:jc w:val="center"/>
              <w:rPr>
                <w:rFonts w:ascii="仿宋_GB2312"/>
                <w:color w:val="000000"/>
                <w:kern w:val="0"/>
                <w:sz w:val="28"/>
                <w:szCs w:val="28"/>
              </w:rPr>
            </w:pPr>
            <w:r>
              <w:rPr>
                <w:rFonts w:hint="eastAsia" w:ascii="仿宋_GB2312" w:hAnsi="宋体"/>
                <w:color w:val="000000"/>
                <w:kern w:val="0"/>
                <w:sz w:val="28"/>
                <w:szCs w:val="28"/>
              </w:rPr>
              <w:t>4</w:t>
            </w:r>
          </w:p>
        </w:tc>
        <w:tc>
          <w:tcPr>
            <w:tcW w:w="890" w:type="dxa"/>
            <w:vMerge w:val="restart"/>
            <w:tcBorders>
              <w:top w:val="nil"/>
              <w:left w:val="nil"/>
              <w:right w:val="single" w:color="000000" w:sz="4" w:space="0"/>
            </w:tcBorders>
            <w:vAlign w:val="center"/>
          </w:tcPr>
          <w:p>
            <w:pPr>
              <w:spacing w:line="480" w:lineRule="exact"/>
              <w:jc w:val="left"/>
              <w:rPr>
                <w:rFonts w:ascii="仿宋_GB2312"/>
                <w:color w:val="000000"/>
                <w:kern w:val="0"/>
                <w:sz w:val="28"/>
                <w:szCs w:val="28"/>
              </w:rPr>
            </w:pPr>
            <w:r>
              <w:rPr>
                <w:rFonts w:hint="eastAsia" w:ascii="仿宋_GB2312" w:hAnsi="宋体"/>
                <w:color w:val="000000"/>
                <w:kern w:val="0"/>
                <w:sz w:val="28"/>
                <w:szCs w:val="28"/>
              </w:rPr>
              <w:t>　</w:t>
            </w:r>
          </w:p>
          <w:p>
            <w:pPr>
              <w:spacing w:line="480" w:lineRule="exact"/>
              <w:jc w:val="left"/>
              <w:rPr>
                <w:rFonts w:ascii="仿宋_GB2312"/>
                <w:color w:val="000000"/>
                <w:kern w:val="0"/>
                <w:sz w:val="28"/>
                <w:szCs w:val="28"/>
              </w:rPr>
            </w:pPr>
            <w:r>
              <w:rPr>
                <w:rFonts w:hint="eastAsia" w:ascii="仿宋_GB2312" w:hAnsi="宋体"/>
                <w:color w:val="000000"/>
                <w:kern w:val="0"/>
                <w:sz w:val="28"/>
                <w:szCs w:val="28"/>
              </w:rPr>
              <w:t>　</w:t>
            </w:r>
          </w:p>
        </w:tc>
      </w:tr>
      <w:tr>
        <w:tblPrEx>
          <w:tblLayout w:type="fixed"/>
          <w:tblCellMar>
            <w:top w:w="0" w:type="dxa"/>
            <w:left w:w="108" w:type="dxa"/>
            <w:bottom w:w="0" w:type="dxa"/>
            <w:right w:w="108" w:type="dxa"/>
          </w:tblCellMar>
        </w:tblPrEx>
        <w:trPr>
          <w:trHeight w:val="624" w:hRule="exact"/>
          <w:jc w:val="center"/>
        </w:trPr>
        <w:tc>
          <w:tcPr>
            <w:tcW w:w="1403" w:type="dxa"/>
            <w:vMerge w:val="continue"/>
            <w:tcBorders>
              <w:top w:val="nil"/>
              <w:left w:val="single" w:color="000000" w:sz="4" w:space="0"/>
              <w:bottom w:val="single" w:color="000000" w:sz="4" w:space="0"/>
              <w:right w:val="single" w:color="000000" w:sz="4" w:space="0"/>
            </w:tcBorders>
            <w:vAlign w:val="center"/>
          </w:tcPr>
          <w:p>
            <w:pPr>
              <w:spacing w:line="480" w:lineRule="exact"/>
              <w:jc w:val="left"/>
              <w:rPr>
                <w:rFonts w:ascii="仿宋_GB2312"/>
                <w:color w:val="000000"/>
                <w:kern w:val="0"/>
                <w:sz w:val="28"/>
                <w:szCs w:val="28"/>
              </w:rPr>
            </w:pPr>
          </w:p>
        </w:tc>
        <w:tc>
          <w:tcPr>
            <w:tcW w:w="5670" w:type="dxa"/>
            <w:tcBorders>
              <w:top w:val="nil"/>
              <w:left w:val="nil"/>
              <w:bottom w:val="single" w:color="000000" w:sz="4" w:space="0"/>
              <w:right w:val="single" w:color="000000" w:sz="4" w:space="0"/>
            </w:tcBorders>
            <w:vAlign w:val="center"/>
          </w:tcPr>
          <w:p>
            <w:pPr>
              <w:spacing w:line="480" w:lineRule="exact"/>
              <w:jc w:val="left"/>
              <w:rPr>
                <w:rFonts w:ascii="仿宋_GB2312"/>
                <w:color w:val="000000"/>
                <w:kern w:val="0"/>
                <w:sz w:val="28"/>
                <w:szCs w:val="28"/>
              </w:rPr>
            </w:pPr>
            <w:r>
              <w:rPr>
                <w:rFonts w:hint="eastAsia" w:ascii="仿宋_GB2312" w:hAnsi="宋体"/>
                <w:color w:val="000000"/>
                <w:kern w:val="0"/>
                <w:sz w:val="28"/>
                <w:szCs w:val="28"/>
              </w:rPr>
              <w:t>教学目标明确、思路清晰。</w:t>
            </w:r>
          </w:p>
        </w:tc>
        <w:tc>
          <w:tcPr>
            <w:tcW w:w="889" w:type="dxa"/>
            <w:tcBorders>
              <w:top w:val="nil"/>
              <w:left w:val="nil"/>
              <w:bottom w:val="single" w:color="000000" w:sz="4" w:space="0"/>
              <w:right w:val="single" w:color="000000" w:sz="4" w:space="0"/>
            </w:tcBorders>
            <w:vAlign w:val="center"/>
          </w:tcPr>
          <w:p>
            <w:pPr>
              <w:spacing w:line="480" w:lineRule="exact"/>
              <w:jc w:val="center"/>
              <w:rPr>
                <w:rFonts w:ascii="仿宋_GB2312"/>
                <w:color w:val="000000"/>
                <w:kern w:val="0"/>
                <w:sz w:val="28"/>
                <w:szCs w:val="28"/>
              </w:rPr>
            </w:pPr>
            <w:r>
              <w:rPr>
                <w:rFonts w:hint="eastAsia" w:ascii="仿宋_GB2312" w:hAnsi="宋体"/>
                <w:color w:val="000000"/>
                <w:kern w:val="0"/>
                <w:sz w:val="28"/>
                <w:szCs w:val="28"/>
              </w:rPr>
              <w:t>4</w:t>
            </w:r>
          </w:p>
        </w:tc>
        <w:tc>
          <w:tcPr>
            <w:tcW w:w="890" w:type="dxa"/>
            <w:vMerge w:val="continue"/>
            <w:tcBorders>
              <w:left w:val="nil"/>
              <w:right w:val="single" w:color="000000" w:sz="4" w:space="0"/>
            </w:tcBorders>
            <w:vAlign w:val="center"/>
          </w:tcPr>
          <w:p>
            <w:pPr>
              <w:spacing w:line="480" w:lineRule="exact"/>
              <w:jc w:val="left"/>
              <w:rPr>
                <w:rFonts w:ascii="仿宋_GB2312"/>
                <w:color w:val="000000"/>
                <w:kern w:val="0"/>
                <w:sz w:val="28"/>
                <w:szCs w:val="28"/>
              </w:rPr>
            </w:pPr>
          </w:p>
        </w:tc>
      </w:tr>
      <w:tr>
        <w:tblPrEx>
          <w:tblLayout w:type="fixed"/>
          <w:tblCellMar>
            <w:top w:w="0" w:type="dxa"/>
            <w:left w:w="108" w:type="dxa"/>
            <w:bottom w:w="0" w:type="dxa"/>
            <w:right w:w="108" w:type="dxa"/>
          </w:tblCellMar>
        </w:tblPrEx>
        <w:trPr>
          <w:trHeight w:val="624" w:hRule="exact"/>
          <w:jc w:val="center"/>
        </w:trPr>
        <w:tc>
          <w:tcPr>
            <w:tcW w:w="1403" w:type="dxa"/>
            <w:vMerge w:val="continue"/>
            <w:tcBorders>
              <w:top w:val="nil"/>
              <w:left w:val="single" w:color="000000" w:sz="4" w:space="0"/>
              <w:bottom w:val="single" w:color="000000" w:sz="4" w:space="0"/>
              <w:right w:val="single" w:color="000000" w:sz="4" w:space="0"/>
            </w:tcBorders>
            <w:vAlign w:val="center"/>
          </w:tcPr>
          <w:p>
            <w:pPr>
              <w:spacing w:line="480" w:lineRule="exact"/>
              <w:jc w:val="left"/>
              <w:rPr>
                <w:rFonts w:ascii="仿宋_GB2312"/>
                <w:color w:val="000000"/>
                <w:kern w:val="0"/>
                <w:sz w:val="28"/>
                <w:szCs w:val="28"/>
              </w:rPr>
            </w:pPr>
          </w:p>
        </w:tc>
        <w:tc>
          <w:tcPr>
            <w:tcW w:w="5670" w:type="dxa"/>
            <w:tcBorders>
              <w:top w:val="nil"/>
              <w:left w:val="nil"/>
              <w:bottom w:val="single" w:color="000000" w:sz="4" w:space="0"/>
              <w:right w:val="single" w:color="000000" w:sz="4" w:space="0"/>
            </w:tcBorders>
            <w:vAlign w:val="center"/>
          </w:tcPr>
          <w:p>
            <w:pPr>
              <w:spacing w:line="480" w:lineRule="exact"/>
              <w:jc w:val="left"/>
              <w:rPr>
                <w:rFonts w:ascii="仿宋_GB2312"/>
                <w:color w:val="000000"/>
                <w:kern w:val="0"/>
                <w:sz w:val="28"/>
                <w:szCs w:val="28"/>
              </w:rPr>
            </w:pPr>
            <w:r>
              <w:rPr>
                <w:rFonts w:hint="eastAsia" w:ascii="仿宋_GB2312" w:hAnsi="宋体"/>
                <w:color w:val="000000"/>
                <w:kern w:val="0"/>
                <w:sz w:val="28"/>
                <w:szCs w:val="28"/>
              </w:rPr>
              <w:t>准确把握课程的重点和难点，针对性强。</w:t>
            </w:r>
          </w:p>
        </w:tc>
        <w:tc>
          <w:tcPr>
            <w:tcW w:w="889" w:type="dxa"/>
            <w:tcBorders>
              <w:top w:val="nil"/>
              <w:left w:val="nil"/>
              <w:bottom w:val="single" w:color="000000" w:sz="4" w:space="0"/>
              <w:right w:val="single" w:color="000000" w:sz="4" w:space="0"/>
            </w:tcBorders>
            <w:vAlign w:val="center"/>
          </w:tcPr>
          <w:p>
            <w:pPr>
              <w:spacing w:line="480" w:lineRule="exact"/>
              <w:jc w:val="center"/>
              <w:rPr>
                <w:rFonts w:ascii="仿宋_GB2312"/>
                <w:color w:val="000000"/>
                <w:kern w:val="0"/>
                <w:sz w:val="28"/>
                <w:szCs w:val="28"/>
              </w:rPr>
            </w:pPr>
            <w:r>
              <w:rPr>
                <w:rFonts w:hint="eastAsia" w:ascii="仿宋_GB2312" w:hAnsi="宋体"/>
                <w:color w:val="000000"/>
                <w:kern w:val="0"/>
                <w:sz w:val="28"/>
                <w:szCs w:val="28"/>
              </w:rPr>
              <w:t>5</w:t>
            </w:r>
          </w:p>
        </w:tc>
        <w:tc>
          <w:tcPr>
            <w:tcW w:w="890" w:type="dxa"/>
            <w:vMerge w:val="continue"/>
            <w:tcBorders>
              <w:left w:val="nil"/>
              <w:bottom w:val="single" w:color="000000" w:sz="4" w:space="0"/>
              <w:right w:val="single" w:color="000000" w:sz="4" w:space="0"/>
            </w:tcBorders>
            <w:vAlign w:val="center"/>
          </w:tcPr>
          <w:p>
            <w:pPr>
              <w:spacing w:line="480" w:lineRule="exact"/>
              <w:jc w:val="left"/>
              <w:rPr>
                <w:rFonts w:ascii="仿宋_GB2312"/>
                <w:color w:val="000000"/>
                <w:kern w:val="0"/>
                <w:sz w:val="28"/>
                <w:szCs w:val="28"/>
              </w:rPr>
            </w:pPr>
          </w:p>
        </w:tc>
      </w:tr>
      <w:tr>
        <w:tblPrEx>
          <w:tblLayout w:type="fixed"/>
          <w:tblCellMar>
            <w:top w:w="0" w:type="dxa"/>
            <w:left w:w="108" w:type="dxa"/>
            <w:bottom w:w="0" w:type="dxa"/>
            <w:right w:w="108" w:type="dxa"/>
          </w:tblCellMar>
        </w:tblPrEx>
        <w:trPr>
          <w:trHeight w:val="1143" w:hRule="atLeast"/>
          <w:jc w:val="center"/>
        </w:trPr>
        <w:tc>
          <w:tcPr>
            <w:tcW w:w="1403" w:type="dxa"/>
            <w:vMerge w:val="continue"/>
            <w:tcBorders>
              <w:top w:val="nil"/>
              <w:left w:val="single" w:color="000000" w:sz="4" w:space="0"/>
              <w:bottom w:val="single" w:color="000000" w:sz="4" w:space="0"/>
              <w:right w:val="single" w:color="000000" w:sz="4" w:space="0"/>
            </w:tcBorders>
            <w:vAlign w:val="center"/>
          </w:tcPr>
          <w:p>
            <w:pPr>
              <w:spacing w:line="480" w:lineRule="exact"/>
              <w:jc w:val="left"/>
              <w:rPr>
                <w:rFonts w:ascii="仿宋_GB2312"/>
                <w:color w:val="000000"/>
                <w:kern w:val="0"/>
                <w:sz w:val="28"/>
                <w:szCs w:val="28"/>
              </w:rPr>
            </w:pPr>
          </w:p>
        </w:tc>
        <w:tc>
          <w:tcPr>
            <w:tcW w:w="5670" w:type="dxa"/>
            <w:tcBorders>
              <w:top w:val="nil"/>
              <w:left w:val="nil"/>
              <w:bottom w:val="single" w:color="000000" w:sz="4" w:space="0"/>
              <w:right w:val="single" w:color="000000" w:sz="4" w:space="0"/>
            </w:tcBorders>
            <w:vAlign w:val="center"/>
          </w:tcPr>
          <w:p>
            <w:pPr>
              <w:spacing w:line="480" w:lineRule="exact"/>
              <w:jc w:val="left"/>
              <w:rPr>
                <w:rFonts w:ascii="仿宋_GB2312"/>
                <w:color w:val="000000"/>
                <w:kern w:val="0"/>
                <w:sz w:val="28"/>
                <w:szCs w:val="28"/>
              </w:rPr>
            </w:pPr>
            <w:r>
              <w:rPr>
                <w:rFonts w:hint="eastAsia" w:ascii="仿宋_GB2312" w:hAnsi="宋体"/>
                <w:color w:val="000000"/>
                <w:kern w:val="0"/>
                <w:sz w:val="28"/>
                <w:szCs w:val="28"/>
              </w:rPr>
              <w:t>教学进程组织合理，方法手段运用恰当有效。</w:t>
            </w:r>
          </w:p>
        </w:tc>
        <w:tc>
          <w:tcPr>
            <w:tcW w:w="889" w:type="dxa"/>
            <w:tcBorders>
              <w:top w:val="nil"/>
              <w:left w:val="nil"/>
              <w:bottom w:val="single" w:color="000000" w:sz="4" w:space="0"/>
              <w:right w:val="single" w:color="000000" w:sz="4" w:space="0"/>
            </w:tcBorders>
            <w:vAlign w:val="center"/>
          </w:tcPr>
          <w:p>
            <w:pPr>
              <w:spacing w:line="480" w:lineRule="exact"/>
              <w:jc w:val="center"/>
              <w:rPr>
                <w:rFonts w:ascii="仿宋_GB2312"/>
                <w:color w:val="000000"/>
                <w:kern w:val="0"/>
                <w:sz w:val="28"/>
                <w:szCs w:val="28"/>
              </w:rPr>
            </w:pPr>
            <w:r>
              <w:rPr>
                <w:rFonts w:hint="eastAsia" w:ascii="仿宋_GB2312" w:hAnsi="宋体"/>
                <w:color w:val="000000"/>
                <w:kern w:val="0"/>
                <w:sz w:val="28"/>
                <w:szCs w:val="28"/>
              </w:rPr>
              <w:t>5</w:t>
            </w:r>
          </w:p>
        </w:tc>
        <w:tc>
          <w:tcPr>
            <w:tcW w:w="890" w:type="dxa"/>
            <w:tcBorders>
              <w:top w:val="nil"/>
              <w:left w:val="nil"/>
              <w:bottom w:val="single" w:color="000000" w:sz="4" w:space="0"/>
              <w:right w:val="single" w:color="000000" w:sz="4" w:space="0"/>
            </w:tcBorders>
            <w:vAlign w:val="center"/>
          </w:tcPr>
          <w:p>
            <w:pPr>
              <w:spacing w:line="480" w:lineRule="exact"/>
              <w:jc w:val="left"/>
              <w:rPr>
                <w:rFonts w:ascii="仿宋_GB2312"/>
                <w:color w:val="000000"/>
                <w:kern w:val="0"/>
                <w:sz w:val="28"/>
                <w:szCs w:val="28"/>
              </w:rPr>
            </w:pPr>
          </w:p>
        </w:tc>
      </w:tr>
      <w:tr>
        <w:tblPrEx>
          <w:tblLayout w:type="fixed"/>
          <w:tblCellMar>
            <w:top w:w="0" w:type="dxa"/>
            <w:left w:w="108" w:type="dxa"/>
            <w:bottom w:w="0" w:type="dxa"/>
            <w:right w:w="108" w:type="dxa"/>
          </w:tblCellMar>
        </w:tblPrEx>
        <w:trPr>
          <w:trHeight w:val="1275" w:hRule="atLeast"/>
          <w:jc w:val="center"/>
        </w:trPr>
        <w:tc>
          <w:tcPr>
            <w:tcW w:w="1403" w:type="dxa"/>
            <w:vMerge w:val="continue"/>
            <w:tcBorders>
              <w:top w:val="nil"/>
              <w:left w:val="single" w:color="000000" w:sz="4" w:space="0"/>
              <w:bottom w:val="single" w:color="000000" w:sz="4" w:space="0"/>
              <w:right w:val="single" w:color="000000" w:sz="4" w:space="0"/>
            </w:tcBorders>
            <w:vAlign w:val="center"/>
          </w:tcPr>
          <w:p>
            <w:pPr>
              <w:spacing w:line="480" w:lineRule="exact"/>
              <w:jc w:val="left"/>
              <w:rPr>
                <w:rFonts w:ascii="仿宋_GB2312"/>
                <w:color w:val="000000"/>
                <w:kern w:val="0"/>
                <w:sz w:val="28"/>
                <w:szCs w:val="28"/>
              </w:rPr>
            </w:pPr>
          </w:p>
        </w:tc>
        <w:tc>
          <w:tcPr>
            <w:tcW w:w="5670" w:type="dxa"/>
            <w:tcBorders>
              <w:top w:val="single" w:color="000000" w:sz="4" w:space="0"/>
              <w:left w:val="nil"/>
              <w:bottom w:val="single" w:color="000000" w:sz="4" w:space="0"/>
              <w:right w:val="single" w:color="000000" w:sz="4" w:space="0"/>
            </w:tcBorders>
            <w:vAlign w:val="center"/>
          </w:tcPr>
          <w:p>
            <w:pPr>
              <w:spacing w:line="480" w:lineRule="exact"/>
              <w:jc w:val="left"/>
              <w:rPr>
                <w:rFonts w:ascii="仿宋_GB2312"/>
                <w:color w:val="000000"/>
                <w:kern w:val="0"/>
                <w:sz w:val="28"/>
                <w:szCs w:val="28"/>
              </w:rPr>
            </w:pPr>
            <w:r>
              <w:rPr>
                <w:rFonts w:hint="eastAsia" w:ascii="仿宋_GB2312" w:hAnsi="宋体"/>
                <w:color w:val="000000"/>
                <w:kern w:val="0"/>
                <w:sz w:val="28"/>
                <w:szCs w:val="28"/>
              </w:rPr>
              <w:t>文字表达准确、简洁，阐述清楚。</w:t>
            </w:r>
          </w:p>
        </w:tc>
        <w:tc>
          <w:tcPr>
            <w:tcW w:w="889" w:type="dxa"/>
            <w:tcBorders>
              <w:top w:val="nil"/>
              <w:left w:val="nil"/>
              <w:bottom w:val="single" w:color="000000" w:sz="4" w:space="0"/>
              <w:right w:val="single" w:color="000000" w:sz="4" w:space="0"/>
            </w:tcBorders>
            <w:vAlign w:val="center"/>
          </w:tcPr>
          <w:p>
            <w:pPr>
              <w:spacing w:line="480" w:lineRule="exact"/>
              <w:jc w:val="center"/>
              <w:rPr>
                <w:rFonts w:ascii="仿宋_GB2312"/>
                <w:color w:val="000000"/>
                <w:kern w:val="0"/>
                <w:sz w:val="28"/>
                <w:szCs w:val="28"/>
              </w:rPr>
            </w:pPr>
            <w:r>
              <w:rPr>
                <w:rFonts w:hint="eastAsia" w:ascii="仿宋_GB2312" w:hAnsi="宋体"/>
                <w:color w:val="000000"/>
                <w:kern w:val="0"/>
                <w:sz w:val="28"/>
                <w:szCs w:val="28"/>
              </w:rPr>
              <w:t>2</w:t>
            </w:r>
          </w:p>
        </w:tc>
        <w:tc>
          <w:tcPr>
            <w:tcW w:w="890" w:type="dxa"/>
            <w:tcBorders>
              <w:top w:val="nil"/>
              <w:left w:val="nil"/>
              <w:bottom w:val="single" w:color="000000" w:sz="4" w:space="0"/>
              <w:right w:val="single" w:color="000000" w:sz="4" w:space="0"/>
            </w:tcBorders>
            <w:vAlign w:val="center"/>
          </w:tcPr>
          <w:p>
            <w:pPr>
              <w:spacing w:line="480" w:lineRule="exact"/>
              <w:jc w:val="left"/>
              <w:rPr>
                <w:rFonts w:ascii="仿宋_GB2312"/>
                <w:color w:val="000000"/>
                <w:kern w:val="0"/>
                <w:sz w:val="28"/>
                <w:szCs w:val="28"/>
              </w:rPr>
            </w:pPr>
          </w:p>
        </w:tc>
      </w:tr>
      <w:tr>
        <w:tblPrEx>
          <w:tblLayout w:type="fixed"/>
          <w:tblCellMar>
            <w:top w:w="0" w:type="dxa"/>
            <w:left w:w="108" w:type="dxa"/>
            <w:bottom w:w="0" w:type="dxa"/>
            <w:right w:w="108" w:type="dxa"/>
          </w:tblCellMar>
        </w:tblPrEx>
        <w:trPr>
          <w:trHeight w:val="1499" w:hRule="atLeast"/>
          <w:jc w:val="center"/>
        </w:trPr>
        <w:tc>
          <w:tcPr>
            <w:tcW w:w="1403"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color w:val="000000"/>
                <w:kern w:val="0"/>
                <w:sz w:val="28"/>
                <w:szCs w:val="28"/>
              </w:rPr>
            </w:pPr>
            <w:r>
              <w:rPr>
                <w:rFonts w:hint="eastAsia" w:ascii="仿宋_GB2312" w:hAnsi="宋体"/>
                <w:color w:val="000000"/>
                <w:kern w:val="0"/>
                <w:sz w:val="28"/>
                <w:szCs w:val="28"/>
              </w:rPr>
              <w:t>评委</w:t>
            </w:r>
          </w:p>
          <w:p>
            <w:pPr>
              <w:spacing w:line="480" w:lineRule="exact"/>
              <w:jc w:val="center"/>
              <w:rPr>
                <w:rFonts w:ascii="仿宋_GB2312"/>
                <w:color w:val="000000"/>
                <w:kern w:val="0"/>
                <w:sz w:val="28"/>
                <w:szCs w:val="28"/>
              </w:rPr>
            </w:pPr>
            <w:r>
              <w:rPr>
                <w:rFonts w:hint="eastAsia" w:ascii="仿宋_GB2312" w:hAnsi="宋体"/>
                <w:color w:val="000000"/>
                <w:kern w:val="0"/>
                <w:sz w:val="28"/>
                <w:szCs w:val="28"/>
              </w:rPr>
              <w:t>签名</w:t>
            </w:r>
          </w:p>
        </w:tc>
        <w:tc>
          <w:tcPr>
            <w:tcW w:w="5670" w:type="dxa"/>
            <w:tcBorders>
              <w:top w:val="single" w:color="000000" w:sz="4" w:space="0"/>
              <w:left w:val="nil"/>
              <w:bottom w:val="single" w:color="000000" w:sz="4" w:space="0"/>
              <w:right w:val="single" w:color="000000" w:sz="4" w:space="0"/>
            </w:tcBorders>
            <w:vAlign w:val="center"/>
          </w:tcPr>
          <w:p>
            <w:pPr>
              <w:spacing w:line="480" w:lineRule="exact"/>
              <w:jc w:val="center"/>
              <w:rPr>
                <w:rFonts w:ascii="仿宋_GB2312"/>
                <w:color w:val="000000"/>
                <w:kern w:val="0"/>
                <w:sz w:val="28"/>
                <w:szCs w:val="28"/>
              </w:rPr>
            </w:pPr>
          </w:p>
        </w:tc>
        <w:tc>
          <w:tcPr>
            <w:tcW w:w="889" w:type="dxa"/>
            <w:tcBorders>
              <w:top w:val="single" w:color="000000" w:sz="4" w:space="0"/>
              <w:left w:val="nil"/>
              <w:bottom w:val="single" w:color="000000" w:sz="4" w:space="0"/>
              <w:right w:val="single" w:color="000000" w:sz="4" w:space="0"/>
            </w:tcBorders>
            <w:vAlign w:val="center"/>
          </w:tcPr>
          <w:p>
            <w:pPr>
              <w:spacing w:line="480" w:lineRule="exact"/>
              <w:jc w:val="center"/>
              <w:rPr>
                <w:rFonts w:ascii="仿宋_GB2312"/>
                <w:color w:val="000000"/>
                <w:kern w:val="0"/>
                <w:sz w:val="28"/>
                <w:szCs w:val="28"/>
              </w:rPr>
            </w:pPr>
            <w:r>
              <w:rPr>
                <w:rFonts w:hint="eastAsia" w:ascii="仿宋_GB2312" w:hAnsi="宋体"/>
                <w:color w:val="000000"/>
                <w:kern w:val="0"/>
                <w:sz w:val="28"/>
                <w:szCs w:val="28"/>
              </w:rPr>
              <w:t>合计得分</w:t>
            </w:r>
          </w:p>
        </w:tc>
        <w:tc>
          <w:tcPr>
            <w:tcW w:w="890" w:type="dxa"/>
            <w:tcBorders>
              <w:top w:val="single" w:color="000000" w:sz="4" w:space="0"/>
              <w:left w:val="nil"/>
              <w:bottom w:val="single" w:color="000000" w:sz="4" w:space="0"/>
              <w:right w:val="single" w:color="000000" w:sz="4" w:space="0"/>
            </w:tcBorders>
            <w:vAlign w:val="center"/>
          </w:tcPr>
          <w:p>
            <w:pPr>
              <w:spacing w:line="480" w:lineRule="exact"/>
              <w:jc w:val="left"/>
              <w:rPr>
                <w:rFonts w:ascii="仿宋_GB2312"/>
                <w:color w:val="000000"/>
                <w:kern w:val="0"/>
                <w:sz w:val="28"/>
                <w:szCs w:val="28"/>
              </w:rPr>
            </w:pPr>
          </w:p>
        </w:tc>
      </w:tr>
    </w:tbl>
    <w:p>
      <w:pPr>
        <w:jc w:val="left"/>
        <w:rPr>
          <w:rFonts w:ascii="宋体" w:cs="宋体"/>
          <w:bCs/>
          <w:color w:val="000000"/>
          <w:kern w:val="0"/>
          <w:sz w:val="28"/>
          <w:szCs w:val="28"/>
        </w:rPr>
      </w:pPr>
      <w:r>
        <w:rPr>
          <w:rFonts w:ascii="宋体" w:hAnsi="宋体" w:cs="宋体"/>
          <w:bCs/>
          <w:color w:val="000000"/>
          <w:kern w:val="0"/>
          <w:sz w:val="28"/>
          <w:szCs w:val="28"/>
        </w:rPr>
        <w:t xml:space="preserve"> </w:t>
      </w:r>
      <w:r>
        <w:rPr>
          <w:rFonts w:hint="eastAsia" w:ascii="黑体" w:hAnsi="宋体" w:eastAsia="黑体" w:cs="宋体"/>
          <w:bCs/>
          <w:color w:val="000000"/>
          <w:kern w:val="0"/>
          <w:sz w:val="28"/>
          <w:szCs w:val="28"/>
        </w:rPr>
        <w:t>注：</w:t>
      </w:r>
      <w:r>
        <w:rPr>
          <w:rFonts w:hint="eastAsia" w:ascii="楷体_GB2312" w:hAnsi="宋体" w:eastAsia="楷体_GB2312" w:cs="宋体"/>
          <w:bCs/>
          <w:color w:val="000000"/>
          <w:kern w:val="0"/>
          <w:sz w:val="28"/>
          <w:szCs w:val="28"/>
        </w:rPr>
        <w:t>评委评分最多保留小数点后两位。</w:t>
      </w:r>
    </w:p>
    <w:p>
      <w:pPr>
        <w:widowControl/>
        <w:jc w:val="left"/>
        <w:rPr>
          <w:rFonts w:asciiTheme="minorEastAsia" w:hAnsiTheme="minorEastAsia" w:eastAsiaTheme="minorEastAsia"/>
          <w:kern w:val="0"/>
          <w:sz w:val="24"/>
        </w:rPr>
      </w:pPr>
      <w:r>
        <w:rPr>
          <w:rFonts w:asciiTheme="minorEastAsia" w:hAnsiTheme="minorEastAsia" w:eastAsiaTheme="minorEastAsia"/>
          <w:kern w:val="0"/>
          <w:sz w:val="24"/>
        </w:rPr>
        <w:br w:type="page"/>
      </w:r>
    </w:p>
    <w:p>
      <w:pPr>
        <w:widowControl/>
        <w:spacing w:line="580" w:lineRule="exact"/>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spacing w:line="580" w:lineRule="exact"/>
        <w:jc w:val="center"/>
        <w:rPr>
          <w:rFonts w:ascii="黑体" w:hAnsi="黑体" w:eastAsia="黑体" w:cs="雅黑"/>
          <w:color w:val="000000" w:themeColor="text1"/>
          <w:kern w:val="0"/>
          <w:sz w:val="36"/>
          <w:szCs w:val="44"/>
          <w14:textFill>
            <w14:solidFill>
              <w14:schemeClr w14:val="tx1"/>
            </w14:solidFill>
          </w14:textFill>
        </w:rPr>
      </w:pPr>
      <w:r>
        <w:rPr>
          <w:rFonts w:hint="eastAsia" w:ascii="黑体" w:hAnsi="黑体" w:eastAsia="黑体" w:cs="雅黑"/>
          <w:color w:val="000000" w:themeColor="text1"/>
          <w:kern w:val="0"/>
          <w:sz w:val="36"/>
          <w:szCs w:val="44"/>
          <w14:textFill>
            <w14:solidFill>
              <w14:schemeClr w14:val="tx1"/>
            </w14:solidFill>
          </w14:textFill>
        </w:rPr>
        <w:t>山东省高校青年教师教学比赛实施方案</w:t>
      </w:r>
    </w:p>
    <w:p>
      <w:pPr>
        <w:spacing w:line="580" w:lineRule="exact"/>
        <w:jc w:val="center"/>
        <w:rPr>
          <w:rFonts w:ascii="黑体" w:hAnsi="黑体" w:eastAsia="黑体" w:cs="雅黑"/>
          <w:color w:val="000000" w:themeColor="text1"/>
          <w:kern w:val="0"/>
          <w:sz w:val="36"/>
          <w:szCs w:val="44"/>
          <w14:textFill>
            <w14:solidFill>
              <w14:schemeClr w14:val="tx1"/>
            </w14:solidFill>
          </w14:textFill>
        </w:rPr>
      </w:pPr>
      <w:r>
        <w:rPr>
          <w:rFonts w:hint="eastAsia" w:ascii="黑体" w:hAnsi="黑体" w:eastAsia="黑体" w:cs="雅黑"/>
          <w:color w:val="000000" w:themeColor="text1"/>
          <w:kern w:val="0"/>
          <w:sz w:val="36"/>
          <w:szCs w:val="44"/>
          <w14:textFill>
            <w14:solidFill>
              <w14:schemeClr w14:val="tx1"/>
            </w14:solidFill>
          </w14:textFill>
        </w:rPr>
        <w:t>课堂教学评分表</w:t>
      </w:r>
    </w:p>
    <w:p>
      <w:pPr>
        <w:widowControl/>
        <w:spacing w:line="400" w:lineRule="atLeast"/>
        <w:ind w:firstLine="150" w:firstLineChars="50"/>
        <w:rPr>
          <w:rFonts w:ascii="黑体" w:hAnsi="宋体" w:eastAsia="黑体"/>
          <w:color w:val="000000"/>
          <w:kern w:val="0"/>
          <w:sz w:val="24"/>
        </w:rPr>
      </w:pPr>
      <w:r>
        <w:rPr>
          <w:rFonts w:hint="eastAsia" w:ascii="仿宋_GB2312" w:hAnsi="宋体"/>
          <w:color w:val="000000"/>
          <w:kern w:val="0"/>
          <w:sz w:val="28"/>
          <w:szCs w:val="28"/>
        </w:rPr>
        <w:t>选手编号:</w:t>
      </w:r>
      <w:r>
        <w:rPr>
          <w:rFonts w:hint="eastAsia" w:ascii="仿宋_GB2312" w:hAnsi="宋体"/>
          <w:color w:val="000000"/>
          <w:kern w:val="0"/>
          <w:sz w:val="28"/>
          <w:szCs w:val="28"/>
          <w:u w:val="single"/>
        </w:rPr>
        <w:t xml:space="preserve">     </w:t>
      </w:r>
      <w:r>
        <w:rPr>
          <w:rFonts w:hint="eastAsia" w:ascii="黑体" w:hAnsi="宋体" w:eastAsia="黑体"/>
          <w:color w:val="000000"/>
          <w:kern w:val="0"/>
          <w:sz w:val="28"/>
          <w:szCs w:val="28"/>
          <w:u w:val="single"/>
        </w:rPr>
        <w:t xml:space="preserve">     </w:t>
      </w:r>
      <w:r>
        <w:rPr>
          <w:rFonts w:hint="eastAsia" w:ascii="黑体" w:hAnsi="宋体" w:eastAsia="黑体"/>
          <w:color w:val="000000"/>
          <w:kern w:val="0"/>
          <w:sz w:val="24"/>
          <w:u w:val="single"/>
        </w:rPr>
        <w:t xml:space="preserve">    </w:t>
      </w:r>
      <w:r>
        <w:rPr>
          <w:rFonts w:hint="eastAsia" w:ascii="黑体" w:hAnsi="宋体" w:eastAsia="黑体"/>
          <w:color w:val="000000"/>
          <w:kern w:val="0"/>
          <w:sz w:val="24"/>
        </w:rPr>
        <w:t xml:space="preserve"> </w:t>
      </w:r>
    </w:p>
    <w:tbl>
      <w:tblPr>
        <w:tblStyle w:val="8"/>
        <w:tblW w:w="9376" w:type="dxa"/>
        <w:jc w:val="center"/>
        <w:tblInd w:w="0" w:type="dxa"/>
        <w:tblLayout w:type="fixed"/>
        <w:tblCellMar>
          <w:top w:w="0" w:type="dxa"/>
          <w:left w:w="108" w:type="dxa"/>
          <w:bottom w:w="0" w:type="dxa"/>
          <w:right w:w="108" w:type="dxa"/>
        </w:tblCellMar>
      </w:tblPr>
      <w:tblGrid>
        <w:gridCol w:w="1117"/>
        <w:gridCol w:w="1095"/>
        <w:gridCol w:w="5411"/>
        <w:gridCol w:w="902"/>
        <w:gridCol w:w="851"/>
      </w:tblGrid>
      <w:tr>
        <w:tblPrEx>
          <w:tblLayout w:type="fixed"/>
          <w:tblCellMar>
            <w:top w:w="0" w:type="dxa"/>
            <w:left w:w="108" w:type="dxa"/>
            <w:bottom w:w="0" w:type="dxa"/>
            <w:right w:w="108" w:type="dxa"/>
          </w:tblCellMar>
        </w:tblPrEx>
        <w:trPr>
          <w:trHeight w:val="794" w:hRule="atLeast"/>
          <w:jc w:val="center"/>
        </w:trPr>
        <w:tc>
          <w:tcPr>
            <w:tcW w:w="11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黑体" w:eastAsia="黑体"/>
                <w:color w:val="000000"/>
                <w:kern w:val="0"/>
                <w:sz w:val="24"/>
              </w:rPr>
            </w:pPr>
            <w:r>
              <w:rPr>
                <w:rFonts w:hint="eastAsia" w:ascii="黑体" w:hAnsi="宋体" w:eastAsia="黑体"/>
                <w:color w:val="000000"/>
                <w:kern w:val="0"/>
                <w:sz w:val="24"/>
              </w:rPr>
              <w:t>项目</w:t>
            </w:r>
          </w:p>
        </w:tc>
        <w:tc>
          <w:tcPr>
            <w:tcW w:w="6506" w:type="dxa"/>
            <w:gridSpan w:val="2"/>
            <w:tcBorders>
              <w:top w:val="single" w:color="000000" w:sz="4" w:space="0"/>
              <w:left w:val="nil"/>
              <w:bottom w:val="single" w:color="000000" w:sz="4" w:space="0"/>
              <w:right w:val="single" w:color="000000" w:sz="4" w:space="0"/>
            </w:tcBorders>
            <w:vAlign w:val="center"/>
          </w:tcPr>
          <w:p>
            <w:pPr>
              <w:spacing w:line="300" w:lineRule="exact"/>
              <w:jc w:val="center"/>
              <w:rPr>
                <w:rFonts w:ascii="黑体" w:eastAsia="黑体"/>
                <w:color w:val="000000"/>
                <w:kern w:val="0"/>
                <w:sz w:val="24"/>
              </w:rPr>
            </w:pPr>
            <w:r>
              <w:rPr>
                <w:rFonts w:hint="eastAsia" w:ascii="黑体" w:hAnsi="宋体" w:eastAsia="黑体"/>
                <w:color w:val="000000"/>
                <w:kern w:val="0"/>
                <w:sz w:val="24"/>
              </w:rPr>
              <w:t>评测要求</w:t>
            </w:r>
          </w:p>
        </w:tc>
        <w:tc>
          <w:tcPr>
            <w:tcW w:w="902" w:type="dxa"/>
            <w:tcBorders>
              <w:top w:val="single" w:color="000000" w:sz="4" w:space="0"/>
              <w:left w:val="nil"/>
              <w:bottom w:val="single" w:color="000000" w:sz="4" w:space="0"/>
              <w:right w:val="single" w:color="000000" w:sz="4" w:space="0"/>
            </w:tcBorders>
            <w:vAlign w:val="center"/>
          </w:tcPr>
          <w:p>
            <w:pPr>
              <w:spacing w:line="300" w:lineRule="exact"/>
              <w:jc w:val="center"/>
              <w:rPr>
                <w:rFonts w:ascii="黑体" w:eastAsia="黑体"/>
                <w:color w:val="000000"/>
                <w:kern w:val="0"/>
                <w:sz w:val="24"/>
              </w:rPr>
            </w:pPr>
            <w:r>
              <w:rPr>
                <w:rFonts w:hint="eastAsia" w:ascii="黑体" w:hAnsi="宋体" w:eastAsia="黑体"/>
                <w:color w:val="000000"/>
                <w:kern w:val="0"/>
                <w:sz w:val="24"/>
              </w:rPr>
              <w:t>分值（75）</w:t>
            </w:r>
          </w:p>
        </w:tc>
        <w:tc>
          <w:tcPr>
            <w:tcW w:w="851" w:type="dxa"/>
            <w:tcBorders>
              <w:top w:val="single" w:color="000000" w:sz="4" w:space="0"/>
              <w:left w:val="nil"/>
              <w:bottom w:val="single" w:color="000000" w:sz="4" w:space="0"/>
              <w:right w:val="single" w:color="000000" w:sz="4" w:space="0"/>
            </w:tcBorders>
            <w:vAlign w:val="center"/>
          </w:tcPr>
          <w:p>
            <w:pPr>
              <w:spacing w:line="300" w:lineRule="exact"/>
              <w:jc w:val="center"/>
              <w:rPr>
                <w:rFonts w:ascii="黑体" w:eastAsia="黑体"/>
                <w:color w:val="000000"/>
                <w:kern w:val="0"/>
                <w:sz w:val="24"/>
              </w:rPr>
            </w:pPr>
            <w:r>
              <w:rPr>
                <w:rFonts w:hint="eastAsia" w:ascii="黑体" w:hAnsi="宋体" w:eastAsia="黑体"/>
                <w:color w:val="000000"/>
                <w:kern w:val="0"/>
                <w:sz w:val="24"/>
              </w:rPr>
              <w:t xml:space="preserve">得分 </w:t>
            </w:r>
          </w:p>
        </w:tc>
      </w:tr>
      <w:tr>
        <w:tblPrEx>
          <w:tblLayout w:type="fixed"/>
          <w:tblCellMar>
            <w:top w:w="0" w:type="dxa"/>
            <w:left w:w="108" w:type="dxa"/>
            <w:bottom w:w="0" w:type="dxa"/>
            <w:right w:w="108" w:type="dxa"/>
          </w:tblCellMar>
        </w:tblPrEx>
        <w:trPr>
          <w:trHeight w:val="425" w:hRule="exact"/>
          <w:jc w:val="center"/>
        </w:trPr>
        <w:tc>
          <w:tcPr>
            <w:tcW w:w="1117" w:type="dxa"/>
            <w:vMerge w:val="restart"/>
            <w:tcBorders>
              <w:top w:val="nil"/>
              <w:left w:val="single" w:color="000000" w:sz="4" w:space="0"/>
              <w:bottom w:val="single" w:color="000000" w:sz="4" w:space="0"/>
              <w:right w:val="single" w:color="000000" w:sz="4" w:space="0"/>
            </w:tcBorders>
            <w:vAlign w:val="center"/>
          </w:tcPr>
          <w:p>
            <w:pPr>
              <w:spacing w:line="300" w:lineRule="exact"/>
              <w:jc w:val="center"/>
              <w:rPr>
                <w:rFonts w:ascii="仿宋_GB2312" w:hAnsi="宋体"/>
                <w:color w:val="000000"/>
                <w:kern w:val="0"/>
                <w:sz w:val="24"/>
              </w:rPr>
            </w:pPr>
            <w:r>
              <w:rPr>
                <w:rFonts w:hint="eastAsia" w:ascii="仿宋_GB2312" w:hAnsi="宋体"/>
                <w:color w:val="000000"/>
                <w:kern w:val="0"/>
                <w:sz w:val="24"/>
              </w:rPr>
              <w:t>课堂</w:t>
            </w:r>
          </w:p>
          <w:p>
            <w:pPr>
              <w:spacing w:line="300" w:lineRule="exact"/>
              <w:jc w:val="center"/>
              <w:rPr>
                <w:rFonts w:ascii="仿宋_GB2312" w:hAnsi="宋体"/>
                <w:color w:val="000000"/>
                <w:kern w:val="0"/>
                <w:sz w:val="24"/>
              </w:rPr>
            </w:pPr>
            <w:r>
              <w:rPr>
                <w:rFonts w:hint="eastAsia" w:ascii="仿宋_GB2312" w:hAnsi="宋体"/>
                <w:color w:val="000000"/>
                <w:kern w:val="0"/>
                <w:sz w:val="24"/>
              </w:rPr>
              <w:t>教学</w:t>
            </w:r>
          </w:p>
          <w:p>
            <w:pPr>
              <w:spacing w:line="300" w:lineRule="exact"/>
              <w:jc w:val="center"/>
              <w:rPr>
                <w:rFonts w:ascii="仿宋_GB2312"/>
                <w:color w:val="000000"/>
                <w:kern w:val="0"/>
                <w:sz w:val="24"/>
              </w:rPr>
            </w:pPr>
            <w:r>
              <w:rPr>
                <w:rFonts w:hint="eastAsia" w:ascii="仿宋_GB2312" w:hAnsi="宋体"/>
                <w:color w:val="000000"/>
                <w:kern w:val="0"/>
                <w:sz w:val="24"/>
              </w:rPr>
              <w:t>(75分)</w:t>
            </w:r>
          </w:p>
        </w:tc>
        <w:tc>
          <w:tcPr>
            <w:tcW w:w="1095" w:type="dxa"/>
            <w:vMerge w:val="restart"/>
            <w:tcBorders>
              <w:top w:val="nil"/>
              <w:left w:val="nil"/>
              <w:bottom w:val="single" w:color="000000" w:sz="4" w:space="0"/>
              <w:right w:val="single" w:color="000000" w:sz="4" w:space="0"/>
            </w:tcBorders>
            <w:vAlign w:val="center"/>
          </w:tcPr>
          <w:p>
            <w:pPr>
              <w:spacing w:line="300" w:lineRule="exact"/>
              <w:jc w:val="center"/>
              <w:rPr>
                <w:rFonts w:ascii="仿宋_GB2312" w:hAnsi="宋体"/>
                <w:color w:val="000000"/>
                <w:kern w:val="0"/>
                <w:sz w:val="24"/>
              </w:rPr>
            </w:pPr>
            <w:r>
              <w:rPr>
                <w:rFonts w:hint="eastAsia" w:ascii="仿宋_GB2312" w:hAnsi="宋体"/>
                <w:color w:val="000000"/>
                <w:kern w:val="0"/>
                <w:sz w:val="24"/>
              </w:rPr>
              <w:t>教学</w:t>
            </w:r>
          </w:p>
          <w:p>
            <w:pPr>
              <w:spacing w:line="300" w:lineRule="exact"/>
              <w:jc w:val="center"/>
              <w:rPr>
                <w:rFonts w:ascii="仿宋_GB2312" w:hAnsi="宋体"/>
                <w:color w:val="000000"/>
                <w:kern w:val="0"/>
                <w:sz w:val="24"/>
              </w:rPr>
            </w:pPr>
            <w:r>
              <w:rPr>
                <w:rFonts w:hint="eastAsia" w:ascii="仿宋_GB2312" w:hAnsi="宋体"/>
                <w:color w:val="000000"/>
                <w:kern w:val="0"/>
                <w:sz w:val="24"/>
              </w:rPr>
              <w:t>内容</w:t>
            </w:r>
          </w:p>
          <w:p>
            <w:pPr>
              <w:spacing w:line="300" w:lineRule="exact"/>
              <w:jc w:val="center"/>
              <w:rPr>
                <w:rFonts w:ascii="仿宋_GB2312"/>
                <w:color w:val="000000"/>
                <w:kern w:val="0"/>
                <w:sz w:val="24"/>
              </w:rPr>
            </w:pPr>
            <w:r>
              <w:rPr>
                <w:rFonts w:hint="eastAsia" w:ascii="仿宋_GB2312" w:hAnsi="宋体"/>
                <w:color w:val="000000"/>
                <w:kern w:val="0"/>
                <w:sz w:val="24"/>
              </w:rPr>
              <w:t>(30分)</w:t>
            </w:r>
          </w:p>
        </w:tc>
        <w:tc>
          <w:tcPr>
            <w:tcW w:w="5411" w:type="dxa"/>
            <w:tcBorders>
              <w:top w:val="single" w:color="000000" w:sz="4" w:space="0"/>
              <w:left w:val="nil"/>
              <w:bottom w:val="single" w:color="000000" w:sz="4" w:space="0"/>
              <w:right w:val="single" w:color="000000" w:sz="4" w:space="0"/>
            </w:tcBorders>
            <w:vAlign w:val="center"/>
          </w:tcPr>
          <w:p>
            <w:pPr>
              <w:spacing w:line="300" w:lineRule="exact"/>
              <w:rPr>
                <w:rFonts w:ascii="仿宋_GB2312"/>
                <w:color w:val="000000"/>
                <w:kern w:val="0"/>
                <w:sz w:val="24"/>
              </w:rPr>
            </w:pPr>
            <w:r>
              <w:rPr>
                <w:rFonts w:hint="eastAsia" w:ascii="仿宋_GB2312" w:hAnsi="宋体"/>
                <w:color w:val="000000"/>
                <w:kern w:val="0"/>
                <w:sz w:val="24"/>
              </w:rPr>
              <w:t>理论联系实际，符合学生的特点</w:t>
            </w:r>
          </w:p>
        </w:tc>
        <w:tc>
          <w:tcPr>
            <w:tcW w:w="90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color w:val="000000"/>
                <w:kern w:val="0"/>
                <w:sz w:val="24"/>
              </w:rPr>
            </w:pPr>
            <w:r>
              <w:rPr>
                <w:rFonts w:hint="eastAsia" w:ascii="仿宋_GB2312" w:hAnsi="宋体"/>
                <w:color w:val="000000"/>
                <w:kern w:val="0"/>
                <w:sz w:val="24"/>
              </w:rPr>
              <w:t>8</w:t>
            </w:r>
          </w:p>
        </w:tc>
        <w:tc>
          <w:tcPr>
            <w:tcW w:w="851" w:type="dxa"/>
            <w:vMerge w:val="restart"/>
            <w:tcBorders>
              <w:top w:val="single" w:color="000000" w:sz="4" w:space="0"/>
              <w:left w:val="nil"/>
              <w:bottom w:val="single" w:color="000000" w:sz="4" w:space="0"/>
              <w:right w:val="single" w:color="000000" w:sz="4" w:space="0"/>
            </w:tcBorders>
            <w:vAlign w:val="center"/>
          </w:tcPr>
          <w:p>
            <w:pPr>
              <w:spacing w:line="300" w:lineRule="exact"/>
              <w:jc w:val="left"/>
              <w:rPr>
                <w:rFonts w:ascii="仿宋_GB2312"/>
                <w:color w:val="000000"/>
                <w:kern w:val="0"/>
                <w:sz w:val="24"/>
              </w:rPr>
            </w:pPr>
          </w:p>
          <w:p>
            <w:pPr>
              <w:spacing w:line="300" w:lineRule="exact"/>
              <w:jc w:val="left"/>
              <w:rPr>
                <w:rFonts w:ascii="仿宋_GB2312"/>
                <w:color w:val="000000"/>
                <w:kern w:val="0"/>
                <w:sz w:val="24"/>
              </w:rPr>
            </w:pPr>
          </w:p>
          <w:p>
            <w:pPr>
              <w:spacing w:line="300" w:lineRule="exact"/>
              <w:jc w:val="left"/>
              <w:rPr>
                <w:rFonts w:ascii="仿宋_GB2312"/>
                <w:color w:val="000000"/>
                <w:kern w:val="0"/>
                <w:sz w:val="24"/>
              </w:rPr>
            </w:pPr>
            <w:r>
              <w:rPr>
                <w:rFonts w:hint="eastAsia" w:ascii="仿宋_GB2312" w:hAnsi="宋体"/>
                <w:color w:val="000000"/>
                <w:kern w:val="0"/>
                <w:sz w:val="24"/>
              </w:rPr>
              <w:t>　</w:t>
            </w:r>
          </w:p>
        </w:tc>
      </w:tr>
      <w:tr>
        <w:tblPrEx>
          <w:tblLayout w:type="fixed"/>
          <w:tblCellMar>
            <w:top w:w="0" w:type="dxa"/>
            <w:left w:w="108" w:type="dxa"/>
            <w:bottom w:w="0" w:type="dxa"/>
            <w:right w:w="108" w:type="dxa"/>
          </w:tblCellMar>
        </w:tblPrEx>
        <w:trPr>
          <w:trHeight w:val="398" w:hRule="atLeast"/>
          <w:jc w:val="center"/>
        </w:trPr>
        <w:tc>
          <w:tcPr>
            <w:tcW w:w="1117" w:type="dxa"/>
            <w:vMerge w:val="continue"/>
            <w:tcBorders>
              <w:top w:val="nil"/>
              <w:left w:val="single" w:color="000000" w:sz="4" w:space="0"/>
              <w:bottom w:val="single" w:color="000000" w:sz="4" w:space="0"/>
              <w:right w:val="single" w:color="000000" w:sz="4" w:space="0"/>
            </w:tcBorders>
            <w:vAlign w:val="center"/>
          </w:tcPr>
          <w:p>
            <w:pPr>
              <w:spacing w:line="300" w:lineRule="exact"/>
              <w:jc w:val="center"/>
              <w:rPr>
                <w:rFonts w:ascii="仿宋_GB2312"/>
                <w:color w:val="000000"/>
                <w:kern w:val="0"/>
                <w:sz w:val="24"/>
              </w:rPr>
            </w:pPr>
          </w:p>
        </w:tc>
        <w:tc>
          <w:tcPr>
            <w:tcW w:w="1095" w:type="dxa"/>
            <w:vMerge w:val="continue"/>
            <w:tcBorders>
              <w:top w:val="nil"/>
              <w:left w:val="nil"/>
              <w:bottom w:val="single" w:color="000000" w:sz="4" w:space="0"/>
              <w:right w:val="single" w:color="000000" w:sz="4" w:space="0"/>
            </w:tcBorders>
            <w:vAlign w:val="center"/>
          </w:tcPr>
          <w:p>
            <w:pPr>
              <w:spacing w:line="300" w:lineRule="exact"/>
              <w:jc w:val="center"/>
              <w:rPr>
                <w:rFonts w:ascii="仿宋_GB2312"/>
                <w:color w:val="000000"/>
                <w:kern w:val="0"/>
                <w:sz w:val="24"/>
              </w:rPr>
            </w:pPr>
          </w:p>
        </w:tc>
        <w:tc>
          <w:tcPr>
            <w:tcW w:w="5411" w:type="dxa"/>
            <w:tcBorders>
              <w:top w:val="single" w:color="000000" w:sz="4" w:space="0"/>
              <w:left w:val="nil"/>
              <w:bottom w:val="single" w:color="000000" w:sz="4" w:space="0"/>
              <w:right w:val="single" w:color="000000" w:sz="4" w:space="0"/>
            </w:tcBorders>
            <w:vAlign w:val="center"/>
          </w:tcPr>
          <w:p>
            <w:pPr>
              <w:spacing w:line="300" w:lineRule="exact"/>
              <w:rPr>
                <w:rFonts w:ascii="仿宋_GB2312"/>
                <w:color w:val="000000"/>
                <w:kern w:val="0"/>
                <w:sz w:val="24"/>
              </w:rPr>
            </w:pPr>
            <w:r>
              <w:rPr>
                <w:rFonts w:hint="eastAsia" w:ascii="仿宋_GB2312" w:hAnsi="宋体"/>
                <w:color w:val="000000"/>
                <w:kern w:val="0"/>
                <w:sz w:val="24"/>
              </w:rPr>
              <w:t>注重学术性，内容充实，信息量大，渗透专业思想，为教学目标服务</w:t>
            </w:r>
          </w:p>
        </w:tc>
        <w:tc>
          <w:tcPr>
            <w:tcW w:w="90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color w:val="000000"/>
                <w:kern w:val="0"/>
                <w:sz w:val="24"/>
              </w:rPr>
            </w:pPr>
            <w:r>
              <w:rPr>
                <w:rFonts w:hint="eastAsia" w:ascii="仿宋_GB2312" w:hAnsi="宋体"/>
                <w:color w:val="000000"/>
                <w:kern w:val="0"/>
                <w:sz w:val="24"/>
              </w:rPr>
              <w:t>8</w:t>
            </w:r>
          </w:p>
        </w:tc>
        <w:tc>
          <w:tcPr>
            <w:tcW w:w="851" w:type="dxa"/>
            <w:vMerge w:val="continue"/>
            <w:tcBorders>
              <w:top w:val="single" w:color="000000" w:sz="4" w:space="0"/>
              <w:left w:val="nil"/>
              <w:bottom w:val="single" w:color="000000" w:sz="4" w:space="0"/>
              <w:right w:val="single" w:color="000000" w:sz="4" w:space="0"/>
            </w:tcBorders>
            <w:vAlign w:val="center"/>
          </w:tcPr>
          <w:p>
            <w:pPr>
              <w:spacing w:line="300" w:lineRule="exact"/>
              <w:jc w:val="left"/>
              <w:rPr>
                <w:rFonts w:ascii="仿宋_GB2312"/>
                <w:color w:val="000000"/>
                <w:kern w:val="0"/>
                <w:sz w:val="24"/>
              </w:rPr>
            </w:pPr>
          </w:p>
        </w:tc>
      </w:tr>
      <w:tr>
        <w:tblPrEx>
          <w:tblLayout w:type="fixed"/>
          <w:tblCellMar>
            <w:top w:w="0" w:type="dxa"/>
            <w:left w:w="108" w:type="dxa"/>
            <w:bottom w:w="0" w:type="dxa"/>
            <w:right w:w="108" w:type="dxa"/>
          </w:tblCellMar>
        </w:tblPrEx>
        <w:trPr>
          <w:trHeight w:val="425" w:hRule="atLeast"/>
          <w:jc w:val="center"/>
        </w:trPr>
        <w:tc>
          <w:tcPr>
            <w:tcW w:w="1117" w:type="dxa"/>
            <w:vMerge w:val="continue"/>
            <w:tcBorders>
              <w:top w:val="nil"/>
              <w:left w:val="single" w:color="000000" w:sz="4" w:space="0"/>
              <w:bottom w:val="single" w:color="000000" w:sz="4" w:space="0"/>
              <w:right w:val="single" w:color="000000" w:sz="4" w:space="0"/>
            </w:tcBorders>
            <w:vAlign w:val="center"/>
          </w:tcPr>
          <w:p>
            <w:pPr>
              <w:spacing w:line="300" w:lineRule="exact"/>
              <w:jc w:val="center"/>
              <w:rPr>
                <w:rFonts w:ascii="仿宋_GB2312"/>
                <w:color w:val="000000"/>
                <w:kern w:val="0"/>
                <w:sz w:val="24"/>
              </w:rPr>
            </w:pPr>
          </w:p>
        </w:tc>
        <w:tc>
          <w:tcPr>
            <w:tcW w:w="1095" w:type="dxa"/>
            <w:vMerge w:val="continue"/>
            <w:tcBorders>
              <w:top w:val="nil"/>
              <w:left w:val="nil"/>
              <w:bottom w:val="single" w:color="000000" w:sz="4" w:space="0"/>
              <w:right w:val="single" w:color="000000" w:sz="4" w:space="0"/>
            </w:tcBorders>
            <w:vAlign w:val="center"/>
          </w:tcPr>
          <w:p>
            <w:pPr>
              <w:spacing w:line="300" w:lineRule="exact"/>
              <w:jc w:val="center"/>
              <w:rPr>
                <w:rFonts w:ascii="仿宋_GB2312"/>
                <w:color w:val="000000"/>
                <w:kern w:val="0"/>
                <w:sz w:val="24"/>
              </w:rPr>
            </w:pPr>
          </w:p>
        </w:tc>
        <w:tc>
          <w:tcPr>
            <w:tcW w:w="5411" w:type="dxa"/>
            <w:tcBorders>
              <w:top w:val="single" w:color="000000" w:sz="4" w:space="0"/>
              <w:left w:val="nil"/>
              <w:bottom w:val="single" w:color="000000" w:sz="4" w:space="0"/>
              <w:right w:val="single" w:color="000000" w:sz="4" w:space="0"/>
            </w:tcBorders>
            <w:vAlign w:val="center"/>
          </w:tcPr>
          <w:p>
            <w:pPr>
              <w:spacing w:line="300" w:lineRule="exact"/>
              <w:rPr>
                <w:rFonts w:ascii="仿宋_GB2312"/>
                <w:color w:val="000000"/>
                <w:kern w:val="0"/>
                <w:sz w:val="24"/>
              </w:rPr>
            </w:pPr>
            <w:r>
              <w:rPr>
                <w:rFonts w:hint="eastAsia" w:ascii="仿宋_GB2312" w:hAnsi="宋体"/>
                <w:color w:val="000000"/>
                <w:kern w:val="0"/>
                <w:sz w:val="24"/>
              </w:rPr>
              <w:t>反映或联系学科发展新思想、新概念、新成果</w:t>
            </w:r>
          </w:p>
        </w:tc>
        <w:tc>
          <w:tcPr>
            <w:tcW w:w="90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color w:val="000000"/>
                <w:kern w:val="0"/>
                <w:sz w:val="24"/>
              </w:rPr>
            </w:pPr>
            <w:r>
              <w:rPr>
                <w:rFonts w:hint="eastAsia" w:ascii="仿宋_GB2312" w:hAnsi="宋体"/>
                <w:color w:val="000000"/>
                <w:kern w:val="0"/>
                <w:sz w:val="24"/>
              </w:rPr>
              <w:t>3</w:t>
            </w:r>
          </w:p>
        </w:tc>
        <w:tc>
          <w:tcPr>
            <w:tcW w:w="851" w:type="dxa"/>
            <w:vMerge w:val="continue"/>
            <w:tcBorders>
              <w:top w:val="single" w:color="000000" w:sz="4" w:space="0"/>
              <w:left w:val="nil"/>
              <w:bottom w:val="single" w:color="000000" w:sz="4" w:space="0"/>
              <w:right w:val="single" w:color="000000" w:sz="4" w:space="0"/>
            </w:tcBorders>
            <w:vAlign w:val="center"/>
          </w:tcPr>
          <w:p>
            <w:pPr>
              <w:spacing w:line="300" w:lineRule="exact"/>
              <w:jc w:val="left"/>
              <w:rPr>
                <w:rFonts w:ascii="仿宋_GB2312"/>
                <w:color w:val="000000"/>
                <w:kern w:val="0"/>
                <w:sz w:val="24"/>
              </w:rPr>
            </w:pPr>
          </w:p>
        </w:tc>
      </w:tr>
      <w:tr>
        <w:tblPrEx>
          <w:tblLayout w:type="fixed"/>
          <w:tblCellMar>
            <w:top w:w="0" w:type="dxa"/>
            <w:left w:w="108" w:type="dxa"/>
            <w:bottom w:w="0" w:type="dxa"/>
            <w:right w:w="108" w:type="dxa"/>
          </w:tblCellMar>
        </w:tblPrEx>
        <w:trPr>
          <w:trHeight w:val="425" w:hRule="atLeast"/>
          <w:jc w:val="center"/>
        </w:trPr>
        <w:tc>
          <w:tcPr>
            <w:tcW w:w="1117" w:type="dxa"/>
            <w:vMerge w:val="continue"/>
            <w:tcBorders>
              <w:top w:val="nil"/>
              <w:left w:val="single" w:color="000000" w:sz="4" w:space="0"/>
              <w:bottom w:val="single" w:color="000000" w:sz="4" w:space="0"/>
              <w:right w:val="single" w:color="000000" w:sz="4" w:space="0"/>
            </w:tcBorders>
            <w:vAlign w:val="center"/>
          </w:tcPr>
          <w:p>
            <w:pPr>
              <w:spacing w:line="300" w:lineRule="exact"/>
              <w:jc w:val="center"/>
              <w:rPr>
                <w:rFonts w:ascii="仿宋_GB2312"/>
                <w:color w:val="000000"/>
                <w:kern w:val="0"/>
                <w:sz w:val="24"/>
              </w:rPr>
            </w:pPr>
          </w:p>
        </w:tc>
        <w:tc>
          <w:tcPr>
            <w:tcW w:w="1095" w:type="dxa"/>
            <w:vMerge w:val="continue"/>
            <w:tcBorders>
              <w:top w:val="nil"/>
              <w:left w:val="nil"/>
              <w:bottom w:val="single" w:color="000000" w:sz="4" w:space="0"/>
              <w:right w:val="single" w:color="000000" w:sz="4" w:space="0"/>
            </w:tcBorders>
            <w:vAlign w:val="center"/>
          </w:tcPr>
          <w:p>
            <w:pPr>
              <w:spacing w:line="300" w:lineRule="exact"/>
              <w:jc w:val="center"/>
              <w:rPr>
                <w:rFonts w:ascii="仿宋_GB2312"/>
                <w:color w:val="000000"/>
                <w:kern w:val="0"/>
                <w:sz w:val="24"/>
              </w:rPr>
            </w:pPr>
          </w:p>
        </w:tc>
        <w:tc>
          <w:tcPr>
            <w:tcW w:w="5411" w:type="dxa"/>
            <w:tcBorders>
              <w:top w:val="single" w:color="000000" w:sz="4" w:space="0"/>
              <w:left w:val="nil"/>
              <w:bottom w:val="single" w:color="000000" w:sz="4" w:space="0"/>
              <w:right w:val="single" w:color="000000" w:sz="4" w:space="0"/>
            </w:tcBorders>
            <w:vAlign w:val="center"/>
          </w:tcPr>
          <w:p>
            <w:pPr>
              <w:spacing w:line="300" w:lineRule="exact"/>
              <w:rPr>
                <w:rFonts w:ascii="仿宋_GB2312"/>
                <w:color w:val="000000"/>
                <w:spacing w:val="-16"/>
                <w:kern w:val="0"/>
                <w:sz w:val="24"/>
              </w:rPr>
            </w:pPr>
            <w:r>
              <w:rPr>
                <w:rFonts w:hint="eastAsia" w:ascii="仿宋_GB2312" w:hAnsi="宋体"/>
                <w:color w:val="000000"/>
                <w:spacing w:val="-16"/>
                <w:kern w:val="0"/>
                <w:sz w:val="24"/>
              </w:rPr>
              <w:t>重点突出，条理清楚，内容承前启后，循序渐进</w:t>
            </w:r>
          </w:p>
        </w:tc>
        <w:tc>
          <w:tcPr>
            <w:tcW w:w="90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color w:val="000000"/>
                <w:kern w:val="0"/>
                <w:sz w:val="24"/>
              </w:rPr>
            </w:pPr>
            <w:r>
              <w:rPr>
                <w:rFonts w:hint="eastAsia" w:ascii="仿宋_GB2312" w:hAnsi="宋体"/>
                <w:color w:val="000000"/>
                <w:kern w:val="0"/>
                <w:sz w:val="24"/>
              </w:rPr>
              <w:t>11</w:t>
            </w:r>
          </w:p>
        </w:tc>
        <w:tc>
          <w:tcPr>
            <w:tcW w:w="851" w:type="dxa"/>
            <w:vMerge w:val="continue"/>
            <w:tcBorders>
              <w:top w:val="single" w:color="000000" w:sz="4" w:space="0"/>
              <w:left w:val="nil"/>
              <w:bottom w:val="single" w:color="000000" w:sz="4" w:space="0"/>
              <w:right w:val="single" w:color="000000" w:sz="4" w:space="0"/>
            </w:tcBorders>
            <w:vAlign w:val="center"/>
          </w:tcPr>
          <w:p>
            <w:pPr>
              <w:spacing w:line="300" w:lineRule="exact"/>
              <w:jc w:val="left"/>
              <w:rPr>
                <w:rFonts w:ascii="仿宋_GB2312"/>
                <w:color w:val="000000"/>
                <w:kern w:val="0"/>
                <w:sz w:val="24"/>
              </w:rPr>
            </w:pPr>
          </w:p>
        </w:tc>
      </w:tr>
      <w:tr>
        <w:tblPrEx>
          <w:tblLayout w:type="fixed"/>
          <w:tblCellMar>
            <w:top w:w="0" w:type="dxa"/>
            <w:left w:w="108" w:type="dxa"/>
            <w:bottom w:w="0" w:type="dxa"/>
            <w:right w:w="108" w:type="dxa"/>
          </w:tblCellMar>
        </w:tblPrEx>
        <w:trPr>
          <w:trHeight w:val="680" w:hRule="atLeast"/>
          <w:jc w:val="center"/>
        </w:trPr>
        <w:tc>
          <w:tcPr>
            <w:tcW w:w="1117" w:type="dxa"/>
            <w:vMerge w:val="continue"/>
            <w:tcBorders>
              <w:top w:val="nil"/>
              <w:left w:val="single" w:color="000000" w:sz="4" w:space="0"/>
              <w:bottom w:val="single" w:color="000000" w:sz="4" w:space="0"/>
              <w:right w:val="single" w:color="000000" w:sz="4" w:space="0"/>
            </w:tcBorders>
            <w:vAlign w:val="center"/>
          </w:tcPr>
          <w:p>
            <w:pPr>
              <w:spacing w:line="300" w:lineRule="exact"/>
              <w:jc w:val="center"/>
              <w:rPr>
                <w:rFonts w:ascii="仿宋_GB2312"/>
                <w:color w:val="000000"/>
                <w:kern w:val="0"/>
                <w:sz w:val="24"/>
              </w:rPr>
            </w:pPr>
          </w:p>
        </w:tc>
        <w:tc>
          <w:tcPr>
            <w:tcW w:w="1095" w:type="dxa"/>
            <w:vMerge w:val="restart"/>
            <w:tcBorders>
              <w:top w:val="nil"/>
              <w:left w:val="nil"/>
              <w:bottom w:val="single" w:color="000000" w:sz="4" w:space="0"/>
              <w:right w:val="single" w:color="000000" w:sz="4" w:space="0"/>
            </w:tcBorders>
            <w:vAlign w:val="center"/>
          </w:tcPr>
          <w:p>
            <w:pPr>
              <w:spacing w:line="300" w:lineRule="exact"/>
              <w:jc w:val="center"/>
              <w:rPr>
                <w:rFonts w:ascii="仿宋_GB2312" w:hAnsi="宋体"/>
                <w:color w:val="000000"/>
                <w:kern w:val="0"/>
                <w:sz w:val="24"/>
              </w:rPr>
            </w:pPr>
            <w:r>
              <w:rPr>
                <w:rFonts w:hint="eastAsia" w:ascii="仿宋_GB2312" w:hAnsi="宋体"/>
                <w:color w:val="000000"/>
                <w:kern w:val="0"/>
                <w:sz w:val="24"/>
              </w:rPr>
              <w:t>教学</w:t>
            </w:r>
          </w:p>
          <w:p>
            <w:pPr>
              <w:spacing w:line="300" w:lineRule="exact"/>
              <w:jc w:val="center"/>
              <w:rPr>
                <w:rFonts w:ascii="仿宋_GB2312" w:hAnsi="宋体"/>
                <w:color w:val="000000"/>
                <w:kern w:val="0"/>
                <w:sz w:val="24"/>
              </w:rPr>
            </w:pPr>
            <w:r>
              <w:rPr>
                <w:rFonts w:hint="eastAsia" w:ascii="仿宋_GB2312" w:hAnsi="宋体"/>
                <w:color w:val="000000"/>
                <w:kern w:val="0"/>
                <w:sz w:val="24"/>
              </w:rPr>
              <w:t>组织</w:t>
            </w:r>
          </w:p>
          <w:p>
            <w:pPr>
              <w:spacing w:line="300" w:lineRule="exact"/>
              <w:jc w:val="center"/>
              <w:rPr>
                <w:rFonts w:ascii="仿宋_GB2312"/>
                <w:color w:val="000000"/>
                <w:kern w:val="0"/>
                <w:sz w:val="24"/>
              </w:rPr>
            </w:pPr>
            <w:r>
              <w:rPr>
                <w:rFonts w:hint="eastAsia" w:ascii="仿宋_GB2312" w:hAnsi="宋体"/>
                <w:color w:val="000000"/>
                <w:kern w:val="0"/>
                <w:sz w:val="24"/>
              </w:rPr>
              <w:t>(30分)</w:t>
            </w:r>
          </w:p>
        </w:tc>
        <w:tc>
          <w:tcPr>
            <w:tcW w:w="5411" w:type="dxa"/>
            <w:tcBorders>
              <w:top w:val="single" w:color="000000" w:sz="4" w:space="0"/>
              <w:left w:val="nil"/>
              <w:bottom w:val="single" w:color="000000" w:sz="4" w:space="0"/>
              <w:right w:val="single" w:color="000000" w:sz="4" w:space="0"/>
            </w:tcBorders>
            <w:vAlign w:val="center"/>
          </w:tcPr>
          <w:p>
            <w:pPr>
              <w:spacing w:line="300" w:lineRule="exact"/>
              <w:rPr>
                <w:rFonts w:ascii="仿宋_GB2312"/>
                <w:color w:val="000000"/>
                <w:kern w:val="0"/>
                <w:sz w:val="24"/>
              </w:rPr>
            </w:pPr>
            <w:r>
              <w:rPr>
                <w:rFonts w:hint="eastAsia" w:ascii="仿宋_GB2312" w:hAnsi="宋体"/>
                <w:color w:val="000000"/>
                <w:kern w:val="0"/>
                <w:sz w:val="24"/>
              </w:rPr>
              <w:t>教学过程安排合理，方法运用灵活、恰当，教学设计方案体现完整</w:t>
            </w:r>
          </w:p>
        </w:tc>
        <w:tc>
          <w:tcPr>
            <w:tcW w:w="90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color w:val="000000"/>
                <w:kern w:val="0"/>
                <w:sz w:val="24"/>
              </w:rPr>
            </w:pPr>
            <w:r>
              <w:rPr>
                <w:rFonts w:hint="eastAsia" w:ascii="仿宋_GB2312" w:hAnsi="宋体"/>
                <w:color w:val="000000"/>
                <w:kern w:val="0"/>
                <w:sz w:val="24"/>
              </w:rPr>
              <w:t>10</w:t>
            </w:r>
          </w:p>
        </w:tc>
        <w:tc>
          <w:tcPr>
            <w:tcW w:w="851" w:type="dxa"/>
            <w:vMerge w:val="restart"/>
            <w:tcBorders>
              <w:top w:val="nil"/>
              <w:left w:val="nil"/>
              <w:right w:val="single" w:color="000000" w:sz="4" w:space="0"/>
            </w:tcBorders>
            <w:vAlign w:val="center"/>
          </w:tcPr>
          <w:p>
            <w:pPr>
              <w:spacing w:line="300" w:lineRule="exact"/>
              <w:jc w:val="left"/>
              <w:rPr>
                <w:rFonts w:ascii="仿宋_GB2312"/>
                <w:color w:val="000000"/>
                <w:kern w:val="0"/>
                <w:sz w:val="24"/>
              </w:rPr>
            </w:pPr>
            <w:r>
              <w:rPr>
                <w:rFonts w:hint="eastAsia" w:ascii="仿宋_GB2312" w:hAnsi="宋体"/>
                <w:color w:val="000000"/>
                <w:kern w:val="0"/>
                <w:sz w:val="24"/>
              </w:rPr>
              <w:t>　</w:t>
            </w:r>
          </w:p>
          <w:p>
            <w:pPr>
              <w:spacing w:line="300" w:lineRule="exact"/>
              <w:jc w:val="left"/>
              <w:rPr>
                <w:rFonts w:ascii="仿宋_GB2312"/>
                <w:color w:val="000000"/>
                <w:kern w:val="0"/>
                <w:sz w:val="24"/>
              </w:rPr>
            </w:pPr>
            <w:r>
              <w:rPr>
                <w:rFonts w:hint="eastAsia" w:ascii="仿宋_GB2312" w:hAnsi="宋体"/>
                <w:color w:val="000000"/>
                <w:kern w:val="0"/>
                <w:sz w:val="24"/>
              </w:rPr>
              <w:t>　</w:t>
            </w:r>
          </w:p>
        </w:tc>
      </w:tr>
      <w:tr>
        <w:tblPrEx>
          <w:tblLayout w:type="fixed"/>
          <w:tblCellMar>
            <w:top w:w="0" w:type="dxa"/>
            <w:left w:w="108" w:type="dxa"/>
            <w:bottom w:w="0" w:type="dxa"/>
            <w:right w:w="108" w:type="dxa"/>
          </w:tblCellMar>
        </w:tblPrEx>
        <w:trPr>
          <w:trHeight w:val="410" w:hRule="atLeast"/>
          <w:jc w:val="center"/>
        </w:trPr>
        <w:tc>
          <w:tcPr>
            <w:tcW w:w="1117" w:type="dxa"/>
            <w:vMerge w:val="continue"/>
            <w:tcBorders>
              <w:top w:val="nil"/>
              <w:left w:val="single" w:color="000000" w:sz="4" w:space="0"/>
              <w:bottom w:val="single" w:color="000000" w:sz="4" w:space="0"/>
              <w:right w:val="single" w:color="000000" w:sz="4" w:space="0"/>
            </w:tcBorders>
            <w:vAlign w:val="center"/>
          </w:tcPr>
          <w:p>
            <w:pPr>
              <w:spacing w:line="300" w:lineRule="exact"/>
              <w:jc w:val="center"/>
              <w:rPr>
                <w:rFonts w:ascii="仿宋_GB2312"/>
                <w:color w:val="000000"/>
                <w:kern w:val="0"/>
                <w:sz w:val="24"/>
              </w:rPr>
            </w:pPr>
          </w:p>
        </w:tc>
        <w:tc>
          <w:tcPr>
            <w:tcW w:w="1095" w:type="dxa"/>
            <w:vMerge w:val="continue"/>
            <w:tcBorders>
              <w:top w:val="nil"/>
              <w:left w:val="nil"/>
              <w:bottom w:val="single" w:color="000000" w:sz="4" w:space="0"/>
              <w:right w:val="single" w:color="000000" w:sz="4" w:space="0"/>
            </w:tcBorders>
            <w:vAlign w:val="center"/>
          </w:tcPr>
          <w:p>
            <w:pPr>
              <w:spacing w:line="300" w:lineRule="exact"/>
              <w:jc w:val="center"/>
              <w:rPr>
                <w:rFonts w:ascii="仿宋_GB2312"/>
                <w:color w:val="000000"/>
                <w:kern w:val="0"/>
                <w:sz w:val="24"/>
              </w:rPr>
            </w:pPr>
          </w:p>
        </w:tc>
        <w:tc>
          <w:tcPr>
            <w:tcW w:w="5411" w:type="dxa"/>
            <w:tcBorders>
              <w:top w:val="single" w:color="000000" w:sz="4" w:space="0"/>
              <w:left w:val="nil"/>
              <w:bottom w:val="single" w:color="000000" w:sz="4" w:space="0"/>
              <w:right w:val="single" w:color="000000" w:sz="4" w:space="0"/>
            </w:tcBorders>
            <w:vAlign w:val="center"/>
          </w:tcPr>
          <w:p>
            <w:pPr>
              <w:spacing w:line="300" w:lineRule="exact"/>
              <w:rPr>
                <w:rFonts w:ascii="仿宋_GB2312"/>
                <w:color w:val="000000"/>
                <w:kern w:val="0"/>
                <w:sz w:val="24"/>
              </w:rPr>
            </w:pPr>
            <w:r>
              <w:rPr>
                <w:rFonts w:hint="eastAsia" w:ascii="仿宋_GB2312" w:hAnsi="宋体"/>
                <w:color w:val="000000"/>
                <w:kern w:val="0"/>
                <w:sz w:val="24"/>
              </w:rPr>
              <w:t>启发性强，能有效调动学生思维和学习积极性</w:t>
            </w:r>
          </w:p>
        </w:tc>
        <w:tc>
          <w:tcPr>
            <w:tcW w:w="90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color w:val="000000"/>
                <w:kern w:val="0"/>
                <w:sz w:val="24"/>
              </w:rPr>
            </w:pPr>
            <w:r>
              <w:rPr>
                <w:rFonts w:hint="eastAsia" w:ascii="仿宋_GB2312" w:hAnsi="宋体"/>
                <w:color w:val="000000"/>
                <w:kern w:val="0"/>
                <w:sz w:val="24"/>
              </w:rPr>
              <w:t>10</w:t>
            </w:r>
          </w:p>
        </w:tc>
        <w:tc>
          <w:tcPr>
            <w:tcW w:w="851" w:type="dxa"/>
            <w:vMerge w:val="continue"/>
            <w:tcBorders>
              <w:left w:val="nil"/>
              <w:right w:val="single" w:color="000000" w:sz="4" w:space="0"/>
            </w:tcBorders>
            <w:vAlign w:val="center"/>
          </w:tcPr>
          <w:p>
            <w:pPr>
              <w:spacing w:line="300" w:lineRule="exact"/>
              <w:jc w:val="left"/>
              <w:rPr>
                <w:rFonts w:ascii="仿宋_GB2312"/>
                <w:color w:val="000000"/>
                <w:kern w:val="0"/>
                <w:sz w:val="24"/>
              </w:rPr>
            </w:pPr>
          </w:p>
        </w:tc>
      </w:tr>
      <w:tr>
        <w:tblPrEx>
          <w:tblLayout w:type="fixed"/>
          <w:tblCellMar>
            <w:top w:w="0" w:type="dxa"/>
            <w:left w:w="108" w:type="dxa"/>
            <w:bottom w:w="0" w:type="dxa"/>
            <w:right w:w="108" w:type="dxa"/>
          </w:tblCellMar>
        </w:tblPrEx>
        <w:trPr>
          <w:trHeight w:val="410" w:hRule="atLeast"/>
          <w:jc w:val="center"/>
        </w:trPr>
        <w:tc>
          <w:tcPr>
            <w:tcW w:w="1117" w:type="dxa"/>
            <w:vMerge w:val="continue"/>
            <w:tcBorders>
              <w:top w:val="nil"/>
              <w:left w:val="single" w:color="000000" w:sz="4" w:space="0"/>
              <w:bottom w:val="single" w:color="000000" w:sz="4" w:space="0"/>
              <w:right w:val="single" w:color="000000" w:sz="4" w:space="0"/>
            </w:tcBorders>
            <w:vAlign w:val="center"/>
          </w:tcPr>
          <w:p>
            <w:pPr>
              <w:spacing w:line="300" w:lineRule="exact"/>
              <w:jc w:val="center"/>
              <w:rPr>
                <w:rFonts w:ascii="仿宋_GB2312"/>
                <w:color w:val="000000"/>
                <w:kern w:val="0"/>
                <w:sz w:val="24"/>
              </w:rPr>
            </w:pPr>
          </w:p>
        </w:tc>
        <w:tc>
          <w:tcPr>
            <w:tcW w:w="1095" w:type="dxa"/>
            <w:vMerge w:val="continue"/>
            <w:tcBorders>
              <w:top w:val="nil"/>
              <w:left w:val="nil"/>
              <w:bottom w:val="single" w:color="000000" w:sz="4" w:space="0"/>
              <w:right w:val="single" w:color="000000" w:sz="4" w:space="0"/>
            </w:tcBorders>
            <w:vAlign w:val="center"/>
          </w:tcPr>
          <w:p>
            <w:pPr>
              <w:spacing w:line="300" w:lineRule="exact"/>
              <w:jc w:val="center"/>
              <w:rPr>
                <w:rFonts w:ascii="仿宋_GB2312"/>
                <w:color w:val="000000"/>
                <w:kern w:val="0"/>
                <w:sz w:val="24"/>
              </w:rPr>
            </w:pPr>
          </w:p>
        </w:tc>
        <w:tc>
          <w:tcPr>
            <w:tcW w:w="5411" w:type="dxa"/>
            <w:tcBorders>
              <w:top w:val="single" w:color="000000" w:sz="4" w:space="0"/>
              <w:left w:val="nil"/>
              <w:bottom w:val="single" w:color="000000" w:sz="4" w:space="0"/>
              <w:right w:val="single" w:color="000000" w:sz="4" w:space="0"/>
            </w:tcBorders>
            <w:vAlign w:val="center"/>
          </w:tcPr>
          <w:p>
            <w:pPr>
              <w:spacing w:line="300" w:lineRule="exact"/>
              <w:rPr>
                <w:rFonts w:ascii="仿宋_GB2312"/>
                <w:color w:val="000000"/>
                <w:kern w:val="0"/>
                <w:sz w:val="24"/>
              </w:rPr>
            </w:pPr>
            <w:r>
              <w:rPr>
                <w:rFonts w:hint="eastAsia" w:ascii="仿宋_GB2312" w:hAnsi="宋体"/>
                <w:color w:val="000000"/>
                <w:kern w:val="0"/>
                <w:sz w:val="24"/>
              </w:rPr>
              <w:t>教学时间安排合理，课堂应变能力强</w:t>
            </w:r>
          </w:p>
        </w:tc>
        <w:tc>
          <w:tcPr>
            <w:tcW w:w="90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color w:val="000000"/>
                <w:kern w:val="0"/>
                <w:sz w:val="24"/>
              </w:rPr>
            </w:pPr>
            <w:r>
              <w:rPr>
                <w:rFonts w:hint="eastAsia" w:ascii="仿宋_GB2312" w:hAnsi="宋体"/>
                <w:color w:val="000000"/>
                <w:kern w:val="0"/>
                <w:sz w:val="24"/>
              </w:rPr>
              <w:t>3</w:t>
            </w:r>
          </w:p>
        </w:tc>
        <w:tc>
          <w:tcPr>
            <w:tcW w:w="851" w:type="dxa"/>
            <w:vMerge w:val="continue"/>
            <w:tcBorders>
              <w:left w:val="nil"/>
              <w:right w:val="single" w:color="000000" w:sz="4" w:space="0"/>
            </w:tcBorders>
            <w:vAlign w:val="center"/>
          </w:tcPr>
          <w:p>
            <w:pPr>
              <w:spacing w:line="300" w:lineRule="exact"/>
              <w:jc w:val="left"/>
              <w:rPr>
                <w:rFonts w:ascii="仿宋_GB2312"/>
                <w:color w:val="000000"/>
                <w:kern w:val="0"/>
                <w:sz w:val="24"/>
              </w:rPr>
            </w:pPr>
          </w:p>
        </w:tc>
      </w:tr>
      <w:tr>
        <w:tblPrEx>
          <w:tblLayout w:type="fixed"/>
          <w:tblCellMar>
            <w:top w:w="0" w:type="dxa"/>
            <w:left w:w="108" w:type="dxa"/>
            <w:bottom w:w="0" w:type="dxa"/>
            <w:right w:w="108" w:type="dxa"/>
          </w:tblCellMar>
        </w:tblPrEx>
        <w:trPr>
          <w:trHeight w:val="410" w:hRule="atLeast"/>
          <w:jc w:val="center"/>
        </w:trPr>
        <w:tc>
          <w:tcPr>
            <w:tcW w:w="1117" w:type="dxa"/>
            <w:vMerge w:val="continue"/>
            <w:tcBorders>
              <w:top w:val="nil"/>
              <w:left w:val="single" w:color="000000" w:sz="4" w:space="0"/>
              <w:bottom w:val="single" w:color="000000" w:sz="4" w:space="0"/>
              <w:right w:val="single" w:color="000000" w:sz="4" w:space="0"/>
            </w:tcBorders>
            <w:vAlign w:val="center"/>
          </w:tcPr>
          <w:p>
            <w:pPr>
              <w:spacing w:line="300" w:lineRule="exact"/>
              <w:jc w:val="center"/>
              <w:rPr>
                <w:rFonts w:ascii="仿宋_GB2312"/>
                <w:color w:val="000000"/>
                <w:kern w:val="0"/>
                <w:sz w:val="24"/>
              </w:rPr>
            </w:pPr>
          </w:p>
        </w:tc>
        <w:tc>
          <w:tcPr>
            <w:tcW w:w="1095" w:type="dxa"/>
            <w:vMerge w:val="continue"/>
            <w:tcBorders>
              <w:top w:val="nil"/>
              <w:left w:val="nil"/>
              <w:bottom w:val="single" w:color="000000" w:sz="4" w:space="0"/>
              <w:right w:val="single" w:color="000000" w:sz="4" w:space="0"/>
            </w:tcBorders>
            <w:vAlign w:val="center"/>
          </w:tcPr>
          <w:p>
            <w:pPr>
              <w:spacing w:line="300" w:lineRule="exact"/>
              <w:jc w:val="center"/>
              <w:rPr>
                <w:rFonts w:ascii="仿宋_GB2312"/>
                <w:color w:val="000000"/>
                <w:kern w:val="0"/>
                <w:sz w:val="24"/>
              </w:rPr>
            </w:pPr>
          </w:p>
        </w:tc>
        <w:tc>
          <w:tcPr>
            <w:tcW w:w="5411" w:type="dxa"/>
            <w:tcBorders>
              <w:top w:val="single" w:color="000000" w:sz="4" w:space="0"/>
              <w:left w:val="nil"/>
              <w:bottom w:val="single" w:color="000000" w:sz="4" w:space="0"/>
              <w:right w:val="single" w:color="000000" w:sz="4" w:space="0"/>
            </w:tcBorders>
            <w:vAlign w:val="center"/>
          </w:tcPr>
          <w:p>
            <w:pPr>
              <w:spacing w:line="300" w:lineRule="exact"/>
              <w:rPr>
                <w:rFonts w:ascii="仿宋_GB2312"/>
                <w:color w:val="000000"/>
                <w:kern w:val="0"/>
                <w:sz w:val="24"/>
              </w:rPr>
            </w:pPr>
            <w:r>
              <w:rPr>
                <w:rFonts w:hint="eastAsia" w:ascii="仿宋_GB2312" w:hAnsi="宋体"/>
                <w:color w:val="000000"/>
                <w:kern w:val="0"/>
                <w:sz w:val="24"/>
              </w:rPr>
              <w:t>熟练、有效地运用多媒体等现代教学手段</w:t>
            </w:r>
          </w:p>
        </w:tc>
        <w:tc>
          <w:tcPr>
            <w:tcW w:w="90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color w:val="000000"/>
                <w:kern w:val="0"/>
                <w:sz w:val="24"/>
              </w:rPr>
            </w:pPr>
            <w:r>
              <w:rPr>
                <w:rFonts w:hint="eastAsia" w:ascii="仿宋_GB2312" w:hAnsi="宋体"/>
                <w:color w:val="000000"/>
                <w:kern w:val="0"/>
                <w:sz w:val="24"/>
              </w:rPr>
              <w:t>4</w:t>
            </w:r>
          </w:p>
        </w:tc>
        <w:tc>
          <w:tcPr>
            <w:tcW w:w="851" w:type="dxa"/>
            <w:vMerge w:val="continue"/>
            <w:tcBorders>
              <w:left w:val="nil"/>
              <w:right w:val="single" w:color="000000" w:sz="4" w:space="0"/>
            </w:tcBorders>
            <w:vAlign w:val="center"/>
          </w:tcPr>
          <w:p>
            <w:pPr>
              <w:spacing w:line="300" w:lineRule="exact"/>
              <w:jc w:val="left"/>
              <w:rPr>
                <w:rFonts w:ascii="仿宋_GB2312"/>
                <w:color w:val="000000"/>
                <w:kern w:val="0"/>
                <w:sz w:val="24"/>
              </w:rPr>
            </w:pPr>
          </w:p>
        </w:tc>
      </w:tr>
      <w:tr>
        <w:tblPrEx>
          <w:tblLayout w:type="fixed"/>
          <w:tblCellMar>
            <w:top w:w="0" w:type="dxa"/>
            <w:left w:w="108" w:type="dxa"/>
            <w:bottom w:w="0" w:type="dxa"/>
            <w:right w:w="108" w:type="dxa"/>
          </w:tblCellMar>
        </w:tblPrEx>
        <w:trPr>
          <w:trHeight w:val="680" w:hRule="atLeast"/>
          <w:jc w:val="center"/>
        </w:trPr>
        <w:tc>
          <w:tcPr>
            <w:tcW w:w="1117" w:type="dxa"/>
            <w:vMerge w:val="continue"/>
            <w:tcBorders>
              <w:top w:val="nil"/>
              <w:left w:val="single" w:color="000000" w:sz="4" w:space="0"/>
              <w:bottom w:val="single" w:color="000000" w:sz="4" w:space="0"/>
              <w:right w:val="single" w:color="000000" w:sz="4" w:space="0"/>
            </w:tcBorders>
            <w:vAlign w:val="center"/>
          </w:tcPr>
          <w:p>
            <w:pPr>
              <w:spacing w:line="300" w:lineRule="exact"/>
              <w:jc w:val="center"/>
              <w:rPr>
                <w:rFonts w:ascii="仿宋_GB2312"/>
                <w:color w:val="000000"/>
                <w:kern w:val="0"/>
                <w:sz w:val="24"/>
              </w:rPr>
            </w:pPr>
          </w:p>
        </w:tc>
        <w:tc>
          <w:tcPr>
            <w:tcW w:w="1095" w:type="dxa"/>
            <w:vMerge w:val="continue"/>
            <w:tcBorders>
              <w:top w:val="nil"/>
              <w:left w:val="nil"/>
              <w:bottom w:val="single" w:color="000000" w:sz="4" w:space="0"/>
              <w:right w:val="single" w:color="000000" w:sz="4" w:space="0"/>
            </w:tcBorders>
            <w:vAlign w:val="center"/>
          </w:tcPr>
          <w:p>
            <w:pPr>
              <w:spacing w:line="300" w:lineRule="exact"/>
              <w:jc w:val="center"/>
              <w:rPr>
                <w:rFonts w:ascii="仿宋_GB2312"/>
                <w:color w:val="000000"/>
                <w:kern w:val="0"/>
                <w:sz w:val="24"/>
              </w:rPr>
            </w:pPr>
          </w:p>
        </w:tc>
        <w:tc>
          <w:tcPr>
            <w:tcW w:w="5411" w:type="dxa"/>
            <w:tcBorders>
              <w:top w:val="single" w:color="000000" w:sz="4" w:space="0"/>
              <w:left w:val="nil"/>
              <w:bottom w:val="single" w:color="000000" w:sz="4" w:space="0"/>
              <w:right w:val="single" w:color="000000" w:sz="4" w:space="0"/>
            </w:tcBorders>
            <w:vAlign w:val="center"/>
          </w:tcPr>
          <w:p>
            <w:pPr>
              <w:spacing w:line="300" w:lineRule="exact"/>
              <w:rPr>
                <w:rFonts w:ascii="仿宋_GB2312"/>
                <w:color w:val="000000"/>
                <w:spacing w:val="-16"/>
                <w:kern w:val="0"/>
                <w:sz w:val="24"/>
              </w:rPr>
            </w:pPr>
            <w:r>
              <w:rPr>
                <w:rFonts w:hint="eastAsia" w:ascii="仿宋_GB2312" w:hAnsi="宋体"/>
                <w:color w:val="000000"/>
                <w:spacing w:val="-16"/>
                <w:kern w:val="0"/>
                <w:sz w:val="24"/>
              </w:rPr>
              <w:t>板书设计与教学内容紧密联系、结构合理，板书与多媒体相配合，简洁、工整、美观、大小适当</w:t>
            </w:r>
          </w:p>
        </w:tc>
        <w:tc>
          <w:tcPr>
            <w:tcW w:w="90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b/>
                <w:bCs/>
                <w:color w:val="000000"/>
                <w:kern w:val="0"/>
                <w:sz w:val="24"/>
              </w:rPr>
            </w:pPr>
            <w:r>
              <w:rPr>
                <w:rFonts w:hint="eastAsia" w:ascii="仿宋_GB2312" w:hAnsi="宋体"/>
                <w:color w:val="000000"/>
                <w:kern w:val="0"/>
                <w:sz w:val="24"/>
              </w:rPr>
              <w:t>3</w:t>
            </w:r>
          </w:p>
        </w:tc>
        <w:tc>
          <w:tcPr>
            <w:tcW w:w="851" w:type="dxa"/>
            <w:vMerge w:val="continue"/>
            <w:tcBorders>
              <w:left w:val="nil"/>
              <w:bottom w:val="single" w:color="000000" w:sz="4" w:space="0"/>
              <w:right w:val="single" w:color="000000" w:sz="4" w:space="0"/>
            </w:tcBorders>
            <w:vAlign w:val="center"/>
          </w:tcPr>
          <w:p>
            <w:pPr>
              <w:spacing w:line="300" w:lineRule="exact"/>
              <w:jc w:val="left"/>
              <w:rPr>
                <w:rFonts w:ascii="仿宋_GB2312"/>
                <w:color w:val="000000"/>
                <w:kern w:val="0"/>
                <w:sz w:val="24"/>
              </w:rPr>
            </w:pPr>
          </w:p>
        </w:tc>
      </w:tr>
      <w:tr>
        <w:tblPrEx>
          <w:tblLayout w:type="fixed"/>
          <w:tblCellMar>
            <w:top w:w="0" w:type="dxa"/>
            <w:left w:w="108" w:type="dxa"/>
            <w:bottom w:w="0" w:type="dxa"/>
            <w:right w:w="108" w:type="dxa"/>
          </w:tblCellMar>
        </w:tblPrEx>
        <w:trPr>
          <w:trHeight w:val="680" w:hRule="exact"/>
          <w:jc w:val="center"/>
        </w:trPr>
        <w:tc>
          <w:tcPr>
            <w:tcW w:w="1117" w:type="dxa"/>
            <w:vMerge w:val="continue"/>
            <w:tcBorders>
              <w:top w:val="nil"/>
              <w:left w:val="single" w:color="000000" w:sz="4" w:space="0"/>
              <w:bottom w:val="single" w:color="000000" w:sz="4" w:space="0"/>
              <w:right w:val="single" w:color="000000" w:sz="4" w:space="0"/>
            </w:tcBorders>
            <w:vAlign w:val="center"/>
          </w:tcPr>
          <w:p>
            <w:pPr>
              <w:spacing w:line="300" w:lineRule="exact"/>
              <w:jc w:val="center"/>
              <w:rPr>
                <w:rFonts w:ascii="仿宋_GB2312"/>
                <w:color w:val="000000"/>
                <w:kern w:val="0"/>
                <w:sz w:val="24"/>
              </w:rPr>
            </w:pPr>
          </w:p>
        </w:tc>
        <w:tc>
          <w:tcPr>
            <w:tcW w:w="1095" w:type="dxa"/>
            <w:vMerge w:val="restart"/>
            <w:tcBorders>
              <w:top w:val="nil"/>
              <w:left w:val="nil"/>
              <w:bottom w:val="single" w:color="000000" w:sz="4" w:space="0"/>
              <w:right w:val="single" w:color="000000" w:sz="4" w:space="0"/>
            </w:tcBorders>
            <w:vAlign w:val="center"/>
          </w:tcPr>
          <w:p>
            <w:pPr>
              <w:spacing w:line="300" w:lineRule="exact"/>
              <w:jc w:val="center"/>
              <w:rPr>
                <w:rFonts w:ascii="仿宋_GB2312" w:hAnsi="宋体"/>
                <w:color w:val="000000"/>
                <w:kern w:val="0"/>
                <w:sz w:val="24"/>
              </w:rPr>
            </w:pPr>
            <w:r>
              <w:rPr>
                <w:rFonts w:hint="eastAsia" w:ascii="仿宋_GB2312" w:hAnsi="宋体"/>
                <w:color w:val="000000"/>
                <w:kern w:val="0"/>
                <w:sz w:val="24"/>
              </w:rPr>
              <w:t>语言</w:t>
            </w:r>
          </w:p>
          <w:p>
            <w:pPr>
              <w:spacing w:line="300" w:lineRule="exact"/>
              <w:jc w:val="center"/>
              <w:rPr>
                <w:rFonts w:ascii="仿宋_GB2312" w:hAnsi="宋体"/>
                <w:color w:val="000000"/>
                <w:kern w:val="0"/>
                <w:sz w:val="24"/>
              </w:rPr>
            </w:pPr>
            <w:r>
              <w:rPr>
                <w:rFonts w:hint="eastAsia" w:ascii="仿宋_GB2312" w:hAnsi="宋体"/>
                <w:color w:val="000000"/>
                <w:kern w:val="0"/>
                <w:sz w:val="24"/>
              </w:rPr>
              <w:t>教态</w:t>
            </w:r>
          </w:p>
          <w:p>
            <w:pPr>
              <w:spacing w:line="300" w:lineRule="exact"/>
              <w:jc w:val="center"/>
              <w:rPr>
                <w:rFonts w:ascii="仿宋_GB2312"/>
                <w:color w:val="000000"/>
                <w:kern w:val="0"/>
                <w:sz w:val="24"/>
              </w:rPr>
            </w:pPr>
            <w:r>
              <w:rPr>
                <w:rFonts w:hint="eastAsia" w:ascii="仿宋_GB2312" w:hAnsi="宋体"/>
                <w:color w:val="000000"/>
                <w:kern w:val="0"/>
                <w:sz w:val="24"/>
              </w:rPr>
              <w:t>(10分)</w:t>
            </w:r>
          </w:p>
        </w:tc>
        <w:tc>
          <w:tcPr>
            <w:tcW w:w="5411" w:type="dxa"/>
            <w:tcBorders>
              <w:top w:val="single" w:color="000000" w:sz="4" w:space="0"/>
              <w:left w:val="nil"/>
              <w:bottom w:val="single" w:color="000000" w:sz="4" w:space="0"/>
              <w:right w:val="single" w:color="000000" w:sz="4" w:space="0"/>
            </w:tcBorders>
            <w:vAlign w:val="center"/>
          </w:tcPr>
          <w:p>
            <w:pPr>
              <w:spacing w:line="300" w:lineRule="exact"/>
              <w:rPr>
                <w:rFonts w:ascii="仿宋_GB2312"/>
                <w:color w:val="000000"/>
                <w:kern w:val="0"/>
                <w:sz w:val="24"/>
              </w:rPr>
            </w:pPr>
            <w:r>
              <w:rPr>
                <w:rFonts w:hint="eastAsia" w:ascii="仿宋_GB2312" w:hAnsi="宋体"/>
                <w:color w:val="000000"/>
                <w:kern w:val="0"/>
                <w:sz w:val="24"/>
              </w:rPr>
              <w:t>普通话讲课，语言清晰、流畅、准确、生动，语速节奏恰当</w:t>
            </w:r>
          </w:p>
        </w:tc>
        <w:tc>
          <w:tcPr>
            <w:tcW w:w="90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color w:val="000000"/>
                <w:kern w:val="0"/>
                <w:sz w:val="24"/>
              </w:rPr>
            </w:pPr>
            <w:r>
              <w:rPr>
                <w:rFonts w:hint="eastAsia" w:ascii="仿宋_GB2312" w:hAnsi="宋体"/>
                <w:color w:val="000000"/>
                <w:kern w:val="0"/>
                <w:sz w:val="24"/>
              </w:rPr>
              <w:t>5</w:t>
            </w:r>
          </w:p>
        </w:tc>
        <w:tc>
          <w:tcPr>
            <w:tcW w:w="851" w:type="dxa"/>
            <w:vMerge w:val="restart"/>
            <w:tcBorders>
              <w:top w:val="nil"/>
              <w:left w:val="nil"/>
              <w:right w:val="single" w:color="000000" w:sz="4" w:space="0"/>
            </w:tcBorders>
            <w:vAlign w:val="center"/>
          </w:tcPr>
          <w:p>
            <w:pPr>
              <w:spacing w:line="300" w:lineRule="exact"/>
              <w:jc w:val="left"/>
              <w:rPr>
                <w:rFonts w:ascii="仿宋_GB2312"/>
                <w:color w:val="000000"/>
                <w:kern w:val="0"/>
                <w:sz w:val="24"/>
              </w:rPr>
            </w:pPr>
          </w:p>
          <w:p>
            <w:pPr>
              <w:spacing w:line="300" w:lineRule="exact"/>
              <w:jc w:val="left"/>
              <w:rPr>
                <w:rFonts w:ascii="仿宋_GB2312"/>
                <w:color w:val="000000"/>
                <w:kern w:val="0"/>
                <w:sz w:val="24"/>
              </w:rPr>
            </w:pPr>
          </w:p>
        </w:tc>
      </w:tr>
      <w:tr>
        <w:tblPrEx>
          <w:tblLayout w:type="fixed"/>
          <w:tblCellMar>
            <w:top w:w="0" w:type="dxa"/>
            <w:left w:w="108" w:type="dxa"/>
            <w:bottom w:w="0" w:type="dxa"/>
            <w:right w:w="108" w:type="dxa"/>
          </w:tblCellMar>
        </w:tblPrEx>
        <w:trPr>
          <w:trHeight w:val="425" w:hRule="atLeast"/>
          <w:jc w:val="center"/>
        </w:trPr>
        <w:tc>
          <w:tcPr>
            <w:tcW w:w="1117" w:type="dxa"/>
            <w:vMerge w:val="continue"/>
            <w:tcBorders>
              <w:top w:val="nil"/>
              <w:left w:val="single" w:color="000000" w:sz="4" w:space="0"/>
              <w:bottom w:val="single" w:color="000000" w:sz="4" w:space="0"/>
              <w:right w:val="single" w:color="000000" w:sz="4" w:space="0"/>
            </w:tcBorders>
            <w:vAlign w:val="center"/>
          </w:tcPr>
          <w:p>
            <w:pPr>
              <w:spacing w:line="300" w:lineRule="exact"/>
              <w:jc w:val="center"/>
              <w:rPr>
                <w:rFonts w:ascii="仿宋_GB2312"/>
                <w:color w:val="000000"/>
                <w:kern w:val="0"/>
                <w:sz w:val="24"/>
              </w:rPr>
            </w:pPr>
          </w:p>
        </w:tc>
        <w:tc>
          <w:tcPr>
            <w:tcW w:w="1095" w:type="dxa"/>
            <w:vMerge w:val="continue"/>
            <w:tcBorders>
              <w:top w:val="nil"/>
              <w:left w:val="nil"/>
              <w:bottom w:val="single" w:color="000000" w:sz="4" w:space="0"/>
              <w:right w:val="single" w:color="000000" w:sz="4" w:space="0"/>
            </w:tcBorders>
            <w:vAlign w:val="center"/>
          </w:tcPr>
          <w:p>
            <w:pPr>
              <w:spacing w:line="300" w:lineRule="exact"/>
              <w:jc w:val="center"/>
              <w:rPr>
                <w:rFonts w:ascii="仿宋_GB2312"/>
                <w:color w:val="000000"/>
                <w:kern w:val="0"/>
                <w:sz w:val="24"/>
              </w:rPr>
            </w:pPr>
          </w:p>
        </w:tc>
        <w:tc>
          <w:tcPr>
            <w:tcW w:w="5411" w:type="dxa"/>
            <w:tcBorders>
              <w:top w:val="single" w:color="000000" w:sz="4" w:space="0"/>
              <w:left w:val="nil"/>
              <w:bottom w:val="single" w:color="000000" w:sz="4" w:space="0"/>
              <w:right w:val="single" w:color="000000" w:sz="4" w:space="0"/>
            </w:tcBorders>
            <w:vAlign w:val="center"/>
          </w:tcPr>
          <w:p>
            <w:pPr>
              <w:spacing w:line="300" w:lineRule="exact"/>
              <w:rPr>
                <w:rFonts w:ascii="仿宋_GB2312"/>
                <w:color w:val="000000"/>
                <w:kern w:val="0"/>
                <w:sz w:val="24"/>
              </w:rPr>
            </w:pPr>
            <w:r>
              <w:rPr>
                <w:rFonts w:hint="eastAsia" w:ascii="仿宋_GB2312" w:hAnsi="宋体"/>
                <w:color w:val="000000"/>
                <w:kern w:val="0"/>
                <w:sz w:val="24"/>
              </w:rPr>
              <w:t>肢体语言运用合理、恰当，教态自然大方</w:t>
            </w:r>
          </w:p>
        </w:tc>
        <w:tc>
          <w:tcPr>
            <w:tcW w:w="90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color w:val="000000"/>
                <w:kern w:val="0"/>
                <w:sz w:val="24"/>
              </w:rPr>
            </w:pPr>
            <w:r>
              <w:rPr>
                <w:rFonts w:hint="eastAsia" w:ascii="仿宋_GB2312" w:hAnsi="宋体"/>
                <w:color w:val="000000"/>
                <w:kern w:val="0"/>
                <w:sz w:val="24"/>
              </w:rPr>
              <w:t>3</w:t>
            </w:r>
          </w:p>
        </w:tc>
        <w:tc>
          <w:tcPr>
            <w:tcW w:w="851" w:type="dxa"/>
            <w:vMerge w:val="continue"/>
            <w:tcBorders>
              <w:left w:val="nil"/>
              <w:right w:val="single" w:color="000000" w:sz="4" w:space="0"/>
            </w:tcBorders>
            <w:vAlign w:val="center"/>
          </w:tcPr>
          <w:p>
            <w:pPr>
              <w:spacing w:line="300" w:lineRule="exact"/>
              <w:jc w:val="left"/>
              <w:rPr>
                <w:rFonts w:ascii="仿宋_GB2312"/>
                <w:color w:val="000000"/>
                <w:kern w:val="0"/>
                <w:sz w:val="24"/>
              </w:rPr>
            </w:pPr>
          </w:p>
        </w:tc>
      </w:tr>
      <w:tr>
        <w:tblPrEx>
          <w:tblLayout w:type="fixed"/>
          <w:tblCellMar>
            <w:top w:w="0" w:type="dxa"/>
            <w:left w:w="108" w:type="dxa"/>
            <w:bottom w:w="0" w:type="dxa"/>
            <w:right w:w="108" w:type="dxa"/>
          </w:tblCellMar>
        </w:tblPrEx>
        <w:trPr>
          <w:trHeight w:val="425" w:hRule="atLeast"/>
          <w:jc w:val="center"/>
        </w:trPr>
        <w:tc>
          <w:tcPr>
            <w:tcW w:w="1117" w:type="dxa"/>
            <w:vMerge w:val="continue"/>
            <w:tcBorders>
              <w:top w:val="nil"/>
              <w:left w:val="single" w:color="000000" w:sz="4" w:space="0"/>
              <w:bottom w:val="single" w:color="000000" w:sz="4" w:space="0"/>
              <w:right w:val="single" w:color="000000" w:sz="4" w:space="0"/>
            </w:tcBorders>
            <w:vAlign w:val="center"/>
          </w:tcPr>
          <w:p>
            <w:pPr>
              <w:spacing w:line="300" w:lineRule="exact"/>
              <w:jc w:val="center"/>
              <w:rPr>
                <w:rFonts w:ascii="仿宋_GB2312"/>
                <w:color w:val="000000"/>
                <w:kern w:val="0"/>
                <w:sz w:val="24"/>
              </w:rPr>
            </w:pPr>
          </w:p>
        </w:tc>
        <w:tc>
          <w:tcPr>
            <w:tcW w:w="1095" w:type="dxa"/>
            <w:vMerge w:val="continue"/>
            <w:tcBorders>
              <w:top w:val="nil"/>
              <w:left w:val="nil"/>
              <w:bottom w:val="single" w:color="000000" w:sz="4" w:space="0"/>
              <w:right w:val="single" w:color="000000" w:sz="4" w:space="0"/>
            </w:tcBorders>
            <w:vAlign w:val="center"/>
          </w:tcPr>
          <w:p>
            <w:pPr>
              <w:spacing w:line="300" w:lineRule="exact"/>
              <w:jc w:val="center"/>
              <w:rPr>
                <w:rFonts w:ascii="仿宋_GB2312"/>
                <w:color w:val="000000"/>
                <w:kern w:val="0"/>
                <w:sz w:val="24"/>
              </w:rPr>
            </w:pPr>
          </w:p>
        </w:tc>
        <w:tc>
          <w:tcPr>
            <w:tcW w:w="5411" w:type="dxa"/>
            <w:tcBorders>
              <w:top w:val="single" w:color="000000" w:sz="4" w:space="0"/>
              <w:left w:val="nil"/>
              <w:bottom w:val="single" w:color="000000" w:sz="4" w:space="0"/>
              <w:right w:val="single" w:color="000000" w:sz="4" w:space="0"/>
            </w:tcBorders>
            <w:vAlign w:val="center"/>
          </w:tcPr>
          <w:p>
            <w:pPr>
              <w:spacing w:line="300" w:lineRule="exact"/>
              <w:rPr>
                <w:rFonts w:ascii="仿宋_GB2312"/>
                <w:color w:val="000000"/>
                <w:kern w:val="0"/>
                <w:sz w:val="24"/>
              </w:rPr>
            </w:pPr>
            <w:r>
              <w:rPr>
                <w:rFonts w:hint="eastAsia" w:ascii="仿宋_GB2312" w:hAnsi="宋体"/>
                <w:color w:val="000000"/>
                <w:kern w:val="0"/>
                <w:sz w:val="24"/>
              </w:rPr>
              <w:t>教态仪表自然得体，精神饱满，亲和力强</w:t>
            </w:r>
          </w:p>
        </w:tc>
        <w:tc>
          <w:tcPr>
            <w:tcW w:w="90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color w:val="000000"/>
                <w:kern w:val="0"/>
                <w:sz w:val="24"/>
              </w:rPr>
            </w:pPr>
            <w:r>
              <w:rPr>
                <w:rFonts w:hint="eastAsia" w:ascii="仿宋_GB2312" w:hAnsi="宋体"/>
                <w:color w:val="000000"/>
                <w:kern w:val="0"/>
                <w:sz w:val="24"/>
              </w:rPr>
              <w:t>2</w:t>
            </w:r>
          </w:p>
        </w:tc>
        <w:tc>
          <w:tcPr>
            <w:tcW w:w="851" w:type="dxa"/>
            <w:vMerge w:val="continue"/>
            <w:tcBorders>
              <w:left w:val="nil"/>
              <w:bottom w:val="single" w:color="000000" w:sz="4" w:space="0"/>
              <w:right w:val="single" w:color="000000" w:sz="4" w:space="0"/>
            </w:tcBorders>
            <w:vAlign w:val="center"/>
          </w:tcPr>
          <w:p>
            <w:pPr>
              <w:spacing w:line="300" w:lineRule="exact"/>
              <w:jc w:val="left"/>
              <w:rPr>
                <w:rFonts w:ascii="仿宋_GB2312"/>
                <w:color w:val="000000"/>
                <w:kern w:val="0"/>
                <w:sz w:val="24"/>
              </w:rPr>
            </w:pPr>
          </w:p>
        </w:tc>
      </w:tr>
      <w:tr>
        <w:tblPrEx>
          <w:tblLayout w:type="fixed"/>
          <w:tblCellMar>
            <w:top w:w="0" w:type="dxa"/>
            <w:left w:w="108" w:type="dxa"/>
            <w:bottom w:w="0" w:type="dxa"/>
            <w:right w:w="108" w:type="dxa"/>
          </w:tblCellMar>
        </w:tblPrEx>
        <w:trPr>
          <w:trHeight w:val="1183" w:hRule="atLeast"/>
          <w:jc w:val="center"/>
        </w:trPr>
        <w:tc>
          <w:tcPr>
            <w:tcW w:w="1117" w:type="dxa"/>
            <w:vMerge w:val="continue"/>
            <w:tcBorders>
              <w:top w:val="nil"/>
              <w:left w:val="single" w:color="000000" w:sz="4" w:space="0"/>
              <w:bottom w:val="single" w:color="000000" w:sz="4" w:space="0"/>
              <w:right w:val="single" w:color="000000" w:sz="4" w:space="0"/>
            </w:tcBorders>
            <w:vAlign w:val="center"/>
          </w:tcPr>
          <w:p>
            <w:pPr>
              <w:spacing w:line="300" w:lineRule="exact"/>
              <w:jc w:val="center"/>
              <w:rPr>
                <w:rFonts w:ascii="仿宋_GB2312"/>
                <w:color w:val="000000"/>
                <w:kern w:val="0"/>
                <w:sz w:val="24"/>
              </w:rPr>
            </w:pPr>
          </w:p>
        </w:tc>
        <w:tc>
          <w:tcPr>
            <w:tcW w:w="1095" w:type="dxa"/>
            <w:tcBorders>
              <w:top w:val="single" w:color="000000" w:sz="4" w:space="0"/>
              <w:left w:val="nil"/>
              <w:bottom w:val="single" w:color="000000" w:sz="4" w:space="0"/>
              <w:right w:val="nil"/>
            </w:tcBorders>
            <w:vAlign w:val="center"/>
          </w:tcPr>
          <w:p>
            <w:pPr>
              <w:spacing w:line="300" w:lineRule="exact"/>
              <w:jc w:val="center"/>
              <w:rPr>
                <w:rFonts w:ascii="仿宋_GB2312" w:hAnsi="宋体"/>
                <w:color w:val="000000"/>
                <w:kern w:val="0"/>
                <w:sz w:val="24"/>
              </w:rPr>
            </w:pPr>
            <w:r>
              <w:rPr>
                <w:rFonts w:hint="eastAsia" w:ascii="仿宋_GB2312" w:hAnsi="宋体"/>
                <w:color w:val="000000"/>
                <w:kern w:val="0"/>
                <w:sz w:val="24"/>
              </w:rPr>
              <w:t>教学</w:t>
            </w:r>
          </w:p>
          <w:p>
            <w:pPr>
              <w:spacing w:line="300" w:lineRule="exact"/>
              <w:jc w:val="center"/>
              <w:rPr>
                <w:rFonts w:ascii="仿宋_GB2312"/>
                <w:color w:val="000000"/>
                <w:kern w:val="0"/>
                <w:sz w:val="24"/>
              </w:rPr>
            </w:pPr>
            <w:r>
              <w:rPr>
                <w:rFonts w:hint="eastAsia" w:ascii="仿宋_GB2312" w:hAnsi="宋体"/>
                <w:color w:val="000000"/>
                <w:kern w:val="0"/>
                <w:sz w:val="24"/>
              </w:rPr>
              <w:t>特色</w:t>
            </w:r>
          </w:p>
          <w:p>
            <w:pPr>
              <w:spacing w:line="300" w:lineRule="exact"/>
              <w:jc w:val="center"/>
              <w:rPr>
                <w:rFonts w:ascii="仿宋_GB2312"/>
                <w:color w:val="000000"/>
                <w:kern w:val="0"/>
                <w:sz w:val="24"/>
              </w:rPr>
            </w:pPr>
            <w:r>
              <w:rPr>
                <w:rFonts w:hint="eastAsia" w:ascii="仿宋_GB2312" w:hAnsi="宋体"/>
                <w:color w:val="000000"/>
                <w:kern w:val="0"/>
                <w:sz w:val="24"/>
              </w:rPr>
              <w:t>(5分)</w:t>
            </w:r>
          </w:p>
        </w:tc>
        <w:tc>
          <w:tcPr>
            <w:tcW w:w="5411"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color w:val="000000"/>
                <w:spacing w:val="-16"/>
                <w:kern w:val="0"/>
                <w:sz w:val="24"/>
              </w:rPr>
            </w:pPr>
            <w:r>
              <w:rPr>
                <w:rFonts w:hint="eastAsia" w:ascii="仿宋_GB2312" w:hAnsi="宋体"/>
                <w:color w:val="000000"/>
                <w:spacing w:val="-16"/>
                <w:kern w:val="0"/>
                <w:sz w:val="24"/>
              </w:rPr>
              <w:t>教学理念先进、风格突出、感染力强、教学效果好</w:t>
            </w:r>
          </w:p>
        </w:tc>
        <w:tc>
          <w:tcPr>
            <w:tcW w:w="90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color w:val="000000"/>
                <w:kern w:val="0"/>
                <w:sz w:val="24"/>
              </w:rPr>
            </w:pPr>
            <w:r>
              <w:rPr>
                <w:rFonts w:hint="eastAsia" w:ascii="仿宋_GB2312" w:hAnsi="宋体"/>
                <w:color w:val="000000"/>
                <w:kern w:val="0"/>
                <w:sz w:val="24"/>
              </w:rPr>
              <w:t>5</w:t>
            </w:r>
          </w:p>
        </w:tc>
        <w:tc>
          <w:tcPr>
            <w:tcW w:w="851" w:type="dxa"/>
            <w:tcBorders>
              <w:top w:val="single" w:color="000000" w:sz="4" w:space="0"/>
              <w:left w:val="nil"/>
              <w:bottom w:val="single" w:color="000000" w:sz="4" w:space="0"/>
              <w:right w:val="single" w:color="000000" w:sz="4" w:space="0"/>
            </w:tcBorders>
            <w:vAlign w:val="center"/>
          </w:tcPr>
          <w:p>
            <w:pPr>
              <w:spacing w:line="300" w:lineRule="exact"/>
              <w:jc w:val="left"/>
              <w:rPr>
                <w:rFonts w:ascii="仿宋_GB2312"/>
                <w:color w:val="000000"/>
                <w:kern w:val="0"/>
                <w:sz w:val="24"/>
              </w:rPr>
            </w:pPr>
          </w:p>
        </w:tc>
      </w:tr>
      <w:tr>
        <w:tblPrEx>
          <w:tblLayout w:type="fixed"/>
          <w:tblCellMar>
            <w:top w:w="0" w:type="dxa"/>
            <w:left w:w="108" w:type="dxa"/>
            <w:bottom w:w="0" w:type="dxa"/>
            <w:right w:w="108" w:type="dxa"/>
          </w:tblCellMar>
        </w:tblPrEx>
        <w:trPr>
          <w:trHeight w:val="687" w:hRule="atLeast"/>
          <w:jc w:val="center"/>
        </w:trPr>
        <w:tc>
          <w:tcPr>
            <w:tcW w:w="2212"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color w:val="000000"/>
                <w:kern w:val="0"/>
                <w:sz w:val="24"/>
              </w:rPr>
            </w:pPr>
            <w:r>
              <w:rPr>
                <w:rFonts w:hint="eastAsia" w:ascii="仿宋_GB2312" w:hAnsi="宋体"/>
                <w:color w:val="000000"/>
                <w:kern w:val="0"/>
                <w:sz w:val="24"/>
              </w:rPr>
              <w:t>评委签名</w:t>
            </w:r>
          </w:p>
        </w:tc>
        <w:tc>
          <w:tcPr>
            <w:tcW w:w="5411" w:type="dxa"/>
            <w:tcBorders>
              <w:top w:val="single" w:color="000000" w:sz="4" w:space="0"/>
              <w:left w:val="nil"/>
              <w:bottom w:val="single" w:color="000000" w:sz="4" w:space="0"/>
              <w:right w:val="single" w:color="000000" w:sz="4" w:space="0"/>
            </w:tcBorders>
            <w:vAlign w:val="center"/>
          </w:tcPr>
          <w:p>
            <w:pPr>
              <w:spacing w:line="300" w:lineRule="exact"/>
              <w:rPr>
                <w:rFonts w:ascii="仿宋_GB2312"/>
                <w:color w:val="000000"/>
                <w:kern w:val="0"/>
                <w:sz w:val="24"/>
              </w:rPr>
            </w:pPr>
          </w:p>
        </w:tc>
        <w:tc>
          <w:tcPr>
            <w:tcW w:w="90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color w:val="000000"/>
                <w:kern w:val="0"/>
                <w:sz w:val="24"/>
              </w:rPr>
            </w:pPr>
            <w:r>
              <w:rPr>
                <w:rFonts w:hint="eastAsia" w:ascii="仿宋_GB2312" w:hAnsi="宋体"/>
                <w:color w:val="000000"/>
                <w:kern w:val="0"/>
                <w:sz w:val="24"/>
              </w:rPr>
              <w:t>合计得分</w:t>
            </w:r>
          </w:p>
        </w:tc>
        <w:tc>
          <w:tcPr>
            <w:tcW w:w="851" w:type="dxa"/>
            <w:tcBorders>
              <w:top w:val="single" w:color="000000" w:sz="4" w:space="0"/>
              <w:left w:val="nil"/>
              <w:bottom w:val="single" w:color="000000" w:sz="4" w:space="0"/>
              <w:right w:val="single" w:color="000000" w:sz="4" w:space="0"/>
            </w:tcBorders>
            <w:vAlign w:val="center"/>
          </w:tcPr>
          <w:p>
            <w:pPr>
              <w:spacing w:line="300" w:lineRule="exact"/>
              <w:jc w:val="left"/>
              <w:rPr>
                <w:rFonts w:ascii="仿宋_GB2312"/>
                <w:color w:val="000000"/>
                <w:kern w:val="0"/>
                <w:sz w:val="24"/>
              </w:rPr>
            </w:pPr>
          </w:p>
        </w:tc>
      </w:tr>
    </w:tbl>
    <w:p>
      <w:pPr>
        <w:ind w:firstLine="150" w:firstLineChars="50"/>
        <w:jc w:val="left"/>
        <w:rPr>
          <w:rFonts w:ascii="楷体_GB2312" w:hAnsi="宋体" w:eastAsia="楷体_GB2312" w:cs="宋体"/>
          <w:bCs/>
          <w:color w:val="000000"/>
          <w:kern w:val="0"/>
          <w:sz w:val="28"/>
          <w:szCs w:val="28"/>
        </w:rPr>
      </w:pPr>
      <w:r>
        <w:rPr>
          <w:rFonts w:hint="eastAsia" w:ascii="黑体" w:hAnsi="宋体" w:eastAsia="黑体" w:cs="宋体"/>
          <w:bCs/>
          <w:color w:val="000000"/>
          <w:kern w:val="0"/>
          <w:sz w:val="28"/>
          <w:szCs w:val="28"/>
        </w:rPr>
        <w:t>注：</w:t>
      </w:r>
      <w:r>
        <w:rPr>
          <w:rFonts w:hint="eastAsia" w:ascii="楷体_GB2312" w:hAnsi="宋体" w:eastAsia="楷体_GB2312" w:cs="宋体"/>
          <w:bCs/>
          <w:color w:val="000000"/>
          <w:kern w:val="0"/>
          <w:sz w:val="28"/>
          <w:szCs w:val="28"/>
        </w:rPr>
        <w:t>评委评分最多保留小数点后两位。</w:t>
      </w:r>
    </w:p>
    <w:p>
      <w:pPr>
        <w:widowControl/>
        <w:spacing w:line="580" w:lineRule="exact"/>
        <w:jc w:val="left"/>
        <w:rPr>
          <w:rFonts w:ascii="黑体" w:hAnsi="黑体" w:eastAsia="黑体"/>
          <w:sz w:val="32"/>
          <w:szCs w:val="32"/>
        </w:rPr>
      </w:pPr>
    </w:p>
    <w:p>
      <w:pPr>
        <w:widowControl/>
        <w:spacing w:line="580" w:lineRule="exact"/>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p>
    <w:p>
      <w:pPr>
        <w:spacing w:line="580" w:lineRule="exact"/>
        <w:jc w:val="center"/>
        <w:rPr>
          <w:rFonts w:ascii="黑体" w:hAnsi="黑体" w:eastAsia="黑体" w:cs="雅黑"/>
          <w:color w:val="000000" w:themeColor="text1"/>
          <w:kern w:val="0"/>
          <w:sz w:val="36"/>
          <w:szCs w:val="44"/>
          <w14:textFill>
            <w14:solidFill>
              <w14:schemeClr w14:val="tx1"/>
            </w14:solidFill>
          </w14:textFill>
        </w:rPr>
      </w:pPr>
      <w:r>
        <w:rPr>
          <w:rFonts w:hint="eastAsia" w:ascii="黑体" w:hAnsi="黑体" w:eastAsia="黑体" w:cs="雅黑"/>
          <w:color w:val="000000" w:themeColor="text1"/>
          <w:kern w:val="0"/>
          <w:sz w:val="36"/>
          <w:szCs w:val="44"/>
          <w14:textFill>
            <w14:solidFill>
              <w14:schemeClr w14:val="tx1"/>
            </w14:solidFill>
          </w14:textFill>
        </w:rPr>
        <w:t>山东省高校青年教师教学比赛实施方案</w:t>
      </w:r>
    </w:p>
    <w:p>
      <w:pPr>
        <w:spacing w:line="580" w:lineRule="exact"/>
        <w:ind w:firstLine="760" w:firstLineChars="200"/>
        <w:jc w:val="center"/>
        <w:rPr>
          <w:rFonts w:ascii="黑体" w:hAnsi="黑体" w:eastAsia="黑体" w:cs="雅黑"/>
          <w:color w:val="000000" w:themeColor="text1"/>
          <w:kern w:val="0"/>
          <w:sz w:val="36"/>
          <w:szCs w:val="44"/>
          <w14:textFill>
            <w14:solidFill>
              <w14:schemeClr w14:val="tx1"/>
            </w14:solidFill>
          </w14:textFill>
        </w:rPr>
      </w:pPr>
      <w:r>
        <w:rPr>
          <w:rFonts w:hint="eastAsia" w:ascii="黑体" w:hAnsi="黑体" w:eastAsia="黑体" w:cs="雅黑"/>
          <w:color w:val="000000" w:themeColor="text1"/>
          <w:kern w:val="0"/>
          <w:sz w:val="36"/>
          <w:szCs w:val="44"/>
          <w14:textFill>
            <w14:solidFill>
              <w14:schemeClr w14:val="tx1"/>
            </w14:solidFill>
          </w14:textFill>
        </w:rPr>
        <w:t>课堂教学反思评分表</w:t>
      </w:r>
    </w:p>
    <w:p>
      <w:pPr>
        <w:widowControl/>
        <w:spacing w:line="240" w:lineRule="atLeast"/>
        <w:ind w:firstLine="167" w:firstLineChars="56"/>
        <w:jc w:val="left"/>
        <w:rPr>
          <w:rFonts w:ascii="仿宋_GB2312"/>
          <w:color w:val="000000"/>
          <w:kern w:val="0"/>
          <w:sz w:val="28"/>
          <w:szCs w:val="28"/>
        </w:rPr>
      </w:pPr>
      <w:r>
        <w:rPr>
          <w:rFonts w:hint="eastAsia" w:ascii="仿宋_GB2312" w:hAnsi="宋体"/>
          <w:color w:val="000000"/>
          <w:kern w:val="0"/>
          <w:sz w:val="28"/>
          <w:szCs w:val="28"/>
        </w:rPr>
        <w:t>选手编号：</w:t>
      </w:r>
      <w:r>
        <w:rPr>
          <w:rFonts w:hint="eastAsia" w:ascii="仿宋_GB2312" w:hAnsi="宋体"/>
          <w:color w:val="000000"/>
          <w:kern w:val="0"/>
          <w:sz w:val="28"/>
          <w:szCs w:val="28"/>
          <w:u w:val="single"/>
        </w:rPr>
        <w:t xml:space="preserve">     </w:t>
      </w:r>
      <w:r>
        <w:rPr>
          <w:rFonts w:hint="eastAsia" w:ascii="黑体" w:hAnsi="宋体" w:eastAsia="黑体"/>
          <w:color w:val="000000"/>
          <w:kern w:val="0"/>
          <w:sz w:val="28"/>
          <w:szCs w:val="28"/>
          <w:u w:val="single"/>
        </w:rPr>
        <w:t xml:space="preserve">     </w:t>
      </w:r>
      <w:r>
        <w:rPr>
          <w:rFonts w:hint="eastAsia" w:ascii="黑体" w:hAnsi="宋体" w:eastAsia="黑体"/>
          <w:color w:val="000000"/>
          <w:kern w:val="0"/>
          <w:sz w:val="24"/>
          <w:u w:val="single"/>
        </w:rPr>
        <w:t xml:space="preserve">    </w:t>
      </w:r>
      <w:r>
        <w:rPr>
          <w:rFonts w:hint="eastAsia" w:ascii="黑体" w:hAnsi="宋体" w:eastAsia="黑体"/>
          <w:color w:val="000000"/>
          <w:kern w:val="0"/>
          <w:sz w:val="24"/>
        </w:rPr>
        <w:t xml:space="preserve"> </w:t>
      </w:r>
    </w:p>
    <w:tbl>
      <w:tblPr>
        <w:tblStyle w:val="8"/>
        <w:tblW w:w="8789" w:type="dxa"/>
        <w:jc w:val="center"/>
        <w:tblInd w:w="0" w:type="dxa"/>
        <w:tblLayout w:type="fixed"/>
        <w:tblCellMar>
          <w:top w:w="0" w:type="dxa"/>
          <w:left w:w="108" w:type="dxa"/>
          <w:bottom w:w="0" w:type="dxa"/>
          <w:right w:w="108" w:type="dxa"/>
        </w:tblCellMar>
      </w:tblPr>
      <w:tblGrid>
        <w:gridCol w:w="1532"/>
        <w:gridCol w:w="4690"/>
        <w:gridCol w:w="1260"/>
        <w:gridCol w:w="1307"/>
      </w:tblGrid>
      <w:tr>
        <w:tblPrEx>
          <w:tblLayout w:type="fixed"/>
          <w:tblCellMar>
            <w:top w:w="0" w:type="dxa"/>
            <w:left w:w="108" w:type="dxa"/>
            <w:bottom w:w="0" w:type="dxa"/>
            <w:right w:w="108" w:type="dxa"/>
          </w:tblCellMar>
        </w:tblPrEx>
        <w:trPr>
          <w:trHeight w:val="748" w:hRule="atLeast"/>
          <w:jc w:val="center"/>
        </w:trPr>
        <w:tc>
          <w:tcPr>
            <w:tcW w:w="153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ascii="黑体" w:eastAsia="黑体"/>
                <w:bCs/>
                <w:color w:val="000000"/>
                <w:kern w:val="0"/>
                <w:sz w:val="28"/>
                <w:szCs w:val="28"/>
              </w:rPr>
            </w:pPr>
            <w:r>
              <w:rPr>
                <w:rFonts w:hint="eastAsia" w:ascii="黑体" w:hAnsi="宋体" w:eastAsia="黑体"/>
                <w:bCs/>
                <w:color w:val="000000"/>
                <w:kern w:val="0"/>
                <w:sz w:val="28"/>
                <w:szCs w:val="28"/>
              </w:rPr>
              <w:t>项目</w:t>
            </w:r>
          </w:p>
        </w:tc>
        <w:tc>
          <w:tcPr>
            <w:tcW w:w="4690" w:type="dxa"/>
            <w:tcBorders>
              <w:top w:val="single" w:color="000000" w:sz="4" w:space="0"/>
              <w:left w:val="nil"/>
              <w:bottom w:val="single" w:color="000000" w:sz="4" w:space="0"/>
              <w:right w:val="single" w:color="000000" w:sz="4" w:space="0"/>
            </w:tcBorders>
            <w:vAlign w:val="center"/>
          </w:tcPr>
          <w:p>
            <w:pPr>
              <w:widowControl/>
              <w:spacing w:line="500" w:lineRule="exact"/>
              <w:jc w:val="center"/>
              <w:rPr>
                <w:rFonts w:ascii="黑体" w:eastAsia="黑体"/>
                <w:bCs/>
                <w:color w:val="000000"/>
                <w:kern w:val="0"/>
                <w:sz w:val="28"/>
                <w:szCs w:val="28"/>
              </w:rPr>
            </w:pPr>
            <w:r>
              <w:rPr>
                <w:rFonts w:hint="eastAsia" w:ascii="黑体" w:hAnsi="宋体" w:eastAsia="黑体"/>
                <w:bCs/>
                <w:color w:val="000000"/>
                <w:kern w:val="0"/>
                <w:sz w:val="28"/>
                <w:szCs w:val="28"/>
              </w:rPr>
              <w:t>评测要求</w:t>
            </w:r>
          </w:p>
        </w:tc>
        <w:tc>
          <w:tcPr>
            <w:tcW w:w="1260" w:type="dxa"/>
            <w:tcBorders>
              <w:top w:val="single" w:color="000000" w:sz="4" w:space="0"/>
              <w:left w:val="nil"/>
              <w:bottom w:val="single" w:color="000000" w:sz="4" w:space="0"/>
              <w:right w:val="single" w:color="000000" w:sz="4" w:space="0"/>
            </w:tcBorders>
            <w:vAlign w:val="center"/>
          </w:tcPr>
          <w:p>
            <w:pPr>
              <w:widowControl/>
              <w:spacing w:line="500" w:lineRule="exact"/>
              <w:jc w:val="center"/>
              <w:rPr>
                <w:rFonts w:ascii="黑体" w:eastAsia="黑体"/>
                <w:bCs/>
                <w:color w:val="000000"/>
                <w:kern w:val="0"/>
                <w:sz w:val="28"/>
                <w:szCs w:val="28"/>
              </w:rPr>
            </w:pPr>
            <w:r>
              <w:rPr>
                <w:rFonts w:hint="eastAsia" w:ascii="黑体" w:hAnsi="宋体" w:eastAsia="黑体"/>
                <w:bCs/>
                <w:color w:val="000000"/>
                <w:kern w:val="0"/>
                <w:sz w:val="28"/>
                <w:szCs w:val="28"/>
              </w:rPr>
              <w:t>分值（5）</w:t>
            </w:r>
          </w:p>
        </w:tc>
        <w:tc>
          <w:tcPr>
            <w:tcW w:w="1307" w:type="dxa"/>
            <w:tcBorders>
              <w:top w:val="single" w:color="000000" w:sz="4" w:space="0"/>
              <w:left w:val="nil"/>
              <w:bottom w:val="single" w:color="000000" w:sz="4" w:space="0"/>
              <w:right w:val="single" w:color="000000" w:sz="4" w:space="0"/>
            </w:tcBorders>
            <w:vAlign w:val="center"/>
          </w:tcPr>
          <w:p>
            <w:pPr>
              <w:widowControl/>
              <w:spacing w:line="500" w:lineRule="exact"/>
              <w:jc w:val="center"/>
              <w:rPr>
                <w:rFonts w:ascii="黑体" w:eastAsia="黑体"/>
                <w:bCs/>
                <w:color w:val="000000"/>
                <w:kern w:val="0"/>
                <w:sz w:val="28"/>
                <w:szCs w:val="28"/>
              </w:rPr>
            </w:pPr>
            <w:r>
              <w:rPr>
                <w:rFonts w:hint="eastAsia" w:ascii="黑体" w:hAnsi="宋体" w:eastAsia="黑体"/>
                <w:bCs/>
                <w:color w:val="000000"/>
                <w:kern w:val="0"/>
                <w:sz w:val="28"/>
                <w:szCs w:val="28"/>
              </w:rPr>
              <w:t>得分</w:t>
            </w:r>
          </w:p>
        </w:tc>
      </w:tr>
      <w:tr>
        <w:tblPrEx>
          <w:tblLayout w:type="fixed"/>
          <w:tblCellMar>
            <w:top w:w="0" w:type="dxa"/>
            <w:left w:w="108" w:type="dxa"/>
            <w:bottom w:w="0" w:type="dxa"/>
            <w:right w:w="108" w:type="dxa"/>
          </w:tblCellMar>
        </w:tblPrEx>
        <w:trPr>
          <w:trHeight w:val="2017" w:hRule="atLeast"/>
          <w:jc w:val="center"/>
        </w:trPr>
        <w:tc>
          <w:tcPr>
            <w:tcW w:w="153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ascii="仿宋_GB2312"/>
                <w:color w:val="000000"/>
                <w:kern w:val="0"/>
                <w:sz w:val="28"/>
                <w:szCs w:val="28"/>
              </w:rPr>
            </w:pPr>
            <w:r>
              <w:rPr>
                <w:rFonts w:hint="eastAsia" w:ascii="仿宋_GB2312" w:hAnsi="宋体"/>
                <w:color w:val="000000"/>
                <w:kern w:val="0"/>
                <w:sz w:val="28"/>
                <w:szCs w:val="28"/>
              </w:rPr>
              <w:t>教学</w:t>
            </w:r>
          </w:p>
          <w:p>
            <w:pPr>
              <w:widowControl/>
              <w:spacing w:line="500" w:lineRule="exact"/>
              <w:jc w:val="center"/>
              <w:rPr>
                <w:rFonts w:ascii="仿宋_GB2312"/>
                <w:color w:val="000000"/>
                <w:kern w:val="0"/>
                <w:sz w:val="28"/>
                <w:szCs w:val="28"/>
              </w:rPr>
            </w:pPr>
            <w:r>
              <w:rPr>
                <w:rFonts w:hint="eastAsia" w:ascii="仿宋_GB2312" w:hAnsi="宋体"/>
                <w:color w:val="000000"/>
                <w:kern w:val="0"/>
                <w:sz w:val="28"/>
                <w:szCs w:val="28"/>
              </w:rPr>
              <w:t>反思</w:t>
            </w:r>
          </w:p>
          <w:p>
            <w:pPr>
              <w:widowControl/>
              <w:spacing w:line="500" w:lineRule="exact"/>
              <w:jc w:val="center"/>
              <w:rPr>
                <w:rFonts w:ascii="仿宋_GB2312"/>
                <w:color w:val="000000"/>
                <w:kern w:val="0"/>
                <w:sz w:val="28"/>
                <w:szCs w:val="28"/>
              </w:rPr>
            </w:pPr>
            <w:r>
              <w:rPr>
                <w:rFonts w:hint="eastAsia" w:ascii="仿宋_GB2312" w:hAnsi="宋体"/>
                <w:color w:val="000000"/>
                <w:kern w:val="0"/>
                <w:sz w:val="28"/>
                <w:szCs w:val="28"/>
              </w:rPr>
              <w:t>(5分)</w:t>
            </w:r>
          </w:p>
        </w:tc>
        <w:tc>
          <w:tcPr>
            <w:tcW w:w="4690" w:type="dxa"/>
            <w:tcBorders>
              <w:top w:val="single" w:color="000000" w:sz="4" w:space="0"/>
              <w:left w:val="nil"/>
              <w:bottom w:val="single" w:color="000000" w:sz="4" w:space="0"/>
              <w:right w:val="single" w:color="000000" w:sz="4" w:space="0"/>
            </w:tcBorders>
            <w:vAlign w:val="center"/>
          </w:tcPr>
          <w:p>
            <w:pPr>
              <w:widowControl/>
              <w:spacing w:line="500" w:lineRule="exact"/>
              <w:rPr>
                <w:rFonts w:ascii="仿宋_GB2312"/>
                <w:color w:val="000000"/>
                <w:kern w:val="0"/>
                <w:sz w:val="28"/>
                <w:szCs w:val="28"/>
              </w:rPr>
            </w:pPr>
            <w:r>
              <w:rPr>
                <w:rFonts w:hint="eastAsia" w:ascii="仿宋_GB2312" w:hAnsi="宋体"/>
                <w:color w:val="000000"/>
                <w:kern w:val="0"/>
                <w:sz w:val="28"/>
                <w:szCs w:val="28"/>
              </w:rPr>
              <w:t>从教学理念、教学方法、教学过程三方面着手，做到联系实际、思路清晰、观点明确、文理通顺，有感而发。</w:t>
            </w:r>
          </w:p>
        </w:tc>
        <w:tc>
          <w:tcPr>
            <w:tcW w:w="1260" w:type="dxa"/>
            <w:tcBorders>
              <w:top w:val="single" w:color="000000" w:sz="4" w:space="0"/>
              <w:left w:val="nil"/>
              <w:bottom w:val="single" w:color="000000" w:sz="4" w:space="0"/>
              <w:right w:val="single" w:color="000000" w:sz="4" w:space="0"/>
            </w:tcBorders>
            <w:vAlign w:val="center"/>
          </w:tcPr>
          <w:p>
            <w:pPr>
              <w:widowControl/>
              <w:spacing w:line="500" w:lineRule="exact"/>
              <w:jc w:val="center"/>
              <w:rPr>
                <w:rFonts w:ascii="仿宋_GB2312"/>
                <w:color w:val="000000"/>
                <w:kern w:val="0"/>
                <w:sz w:val="28"/>
                <w:szCs w:val="28"/>
              </w:rPr>
            </w:pPr>
            <w:r>
              <w:rPr>
                <w:rFonts w:hint="eastAsia" w:ascii="仿宋_GB2312" w:hAnsi="宋体"/>
                <w:color w:val="000000"/>
                <w:kern w:val="0"/>
                <w:sz w:val="28"/>
                <w:szCs w:val="28"/>
              </w:rPr>
              <w:t>5</w:t>
            </w:r>
          </w:p>
        </w:tc>
        <w:tc>
          <w:tcPr>
            <w:tcW w:w="1307" w:type="dxa"/>
            <w:tcBorders>
              <w:top w:val="single" w:color="000000" w:sz="4" w:space="0"/>
              <w:left w:val="nil"/>
              <w:bottom w:val="single" w:color="000000" w:sz="4" w:space="0"/>
              <w:right w:val="single" w:color="000000" w:sz="4" w:space="0"/>
            </w:tcBorders>
            <w:vAlign w:val="center"/>
          </w:tcPr>
          <w:p>
            <w:pPr>
              <w:widowControl/>
              <w:spacing w:line="500" w:lineRule="exact"/>
              <w:rPr>
                <w:rFonts w:ascii="仿宋_GB2312"/>
                <w:color w:val="000000"/>
                <w:kern w:val="0"/>
                <w:sz w:val="28"/>
                <w:szCs w:val="28"/>
              </w:rPr>
            </w:pPr>
          </w:p>
        </w:tc>
      </w:tr>
      <w:tr>
        <w:tblPrEx>
          <w:tblLayout w:type="fixed"/>
          <w:tblCellMar>
            <w:top w:w="0" w:type="dxa"/>
            <w:left w:w="108" w:type="dxa"/>
            <w:bottom w:w="0" w:type="dxa"/>
            <w:right w:w="108" w:type="dxa"/>
          </w:tblCellMar>
        </w:tblPrEx>
        <w:trPr>
          <w:trHeight w:val="1157" w:hRule="atLeast"/>
          <w:jc w:val="center"/>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color w:val="000000"/>
                <w:kern w:val="0"/>
                <w:sz w:val="28"/>
                <w:szCs w:val="28"/>
              </w:rPr>
            </w:pPr>
            <w:r>
              <w:rPr>
                <w:rFonts w:hint="eastAsia" w:ascii="仿宋_GB2312" w:hAnsi="宋体"/>
                <w:color w:val="000000"/>
                <w:kern w:val="0"/>
                <w:sz w:val="28"/>
                <w:szCs w:val="28"/>
              </w:rPr>
              <w:t>评委签名</w:t>
            </w:r>
          </w:p>
        </w:tc>
        <w:tc>
          <w:tcPr>
            <w:tcW w:w="7257" w:type="dxa"/>
            <w:gridSpan w:val="3"/>
            <w:tcBorders>
              <w:top w:val="single" w:color="000000" w:sz="4" w:space="0"/>
              <w:left w:val="nil"/>
              <w:bottom w:val="single" w:color="000000" w:sz="4" w:space="0"/>
              <w:right w:val="single" w:color="000000" w:sz="4" w:space="0"/>
            </w:tcBorders>
            <w:vAlign w:val="center"/>
          </w:tcPr>
          <w:p>
            <w:pPr>
              <w:spacing w:line="500" w:lineRule="exact"/>
              <w:jc w:val="center"/>
              <w:rPr>
                <w:rFonts w:ascii="仿宋_GB2312"/>
                <w:color w:val="000000"/>
                <w:kern w:val="0"/>
                <w:sz w:val="28"/>
                <w:szCs w:val="28"/>
              </w:rPr>
            </w:pPr>
          </w:p>
        </w:tc>
      </w:tr>
    </w:tbl>
    <w:p>
      <w:pPr>
        <w:ind w:firstLine="150" w:firstLineChars="50"/>
        <w:jc w:val="left"/>
        <w:rPr>
          <w:rFonts w:ascii="楷体_GB2312" w:hAnsi="宋体" w:eastAsia="楷体_GB2312" w:cs="宋体"/>
          <w:bCs/>
          <w:color w:val="000000"/>
          <w:kern w:val="0"/>
          <w:sz w:val="28"/>
          <w:szCs w:val="28"/>
        </w:rPr>
      </w:pPr>
      <w:r>
        <w:rPr>
          <w:rFonts w:hint="eastAsia" w:ascii="黑体" w:hAnsi="宋体" w:eastAsia="黑体" w:cs="宋体"/>
          <w:bCs/>
          <w:color w:val="000000"/>
          <w:kern w:val="0"/>
          <w:sz w:val="28"/>
          <w:szCs w:val="28"/>
        </w:rPr>
        <w:t>注：</w:t>
      </w:r>
      <w:r>
        <w:rPr>
          <w:rFonts w:hint="eastAsia" w:ascii="楷体_GB2312" w:hAnsi="宋体" w:eastAsia="楷体_GB2312" w:cs="宋体"/>
          <w:bCs/>
          <w:color w:val="000000"/>
          <w:kern w:val="0"/>
          <w:sz w:val="28"/>
          <w:szCs w:val="28"/>
        </w:rPr>
        <w:t>评委评分最多保留小数点后两位。</w:t>
      </w:r>
    </w:p>
    <w:p>
      <w:pPr>
        <w:widowControl/>
        <w:spacing w:line="580" w:lineRule="exact"/>
        <w:jc w:val="left"/>
        <w:rPr>
          <w:rFonts w:ascii="黑体" w:hAnsi="黑体" w:eastAsia="黑体"/>
          <w:sz w:val="28"/>
          <w:szCs w:val="32"/>
        </w:rPr>
      </w:pPr>
      <w:r>
        <w:rPr>
          <w:rFonts w:ascii="黑体" w:hAnsi="黑体" w:eastAsia="黑体"/>
          <w:sz w:val="32"/>
          <w:szCs w:val="32"/>
        </w:rPr>
        <w:br w:type="page"/>
      </w:r>
      <w:r>
        <w:rPr>
          <w:rFonts w:hint="eastAsia" w:ascii="黑体" w:hAnsi="黑体" w:eastAsia="黑体"/>
          <w:sz w:val="28"/>
          <w:szCs w:val="32"/>
        </w:rPr>
        <w:t>附件二</w:t>
      </w:r>
    </w:p>
    <w:p>
      <w:pPr>
        <w:widowControl/>
        <w:spacing w:before="585" w:beforeLines="100" w:line="640" w:lineRule="exact"/>
        <w:jc w:val="center"/>
        <w:rPr>
          <w:rFonts w:ascii="黑体" w:hAnsi="黑体" w:eastAsia="黑体" w:cs="雅黑"/>
          <w:color w:val="000000"/>
          <w:kern w:val="0"/>
          <w:sz w:val="40"/>
          <w:szCs w:val="44"/>
        </w:rPr>
      </w:pPr>
      <w:r>
        <w:rPr>
          <w:rFonts w:hint="eastAsia" w:ascii="黑体" w:hAnsi="黑体" w:eastAsia="黑体" w:cs="雅黑"/>
          <w:color w:val="000000"/>
          <w:kern w:val="0"/>
          <w:sz w:val="40"/>
          <w:szCs w:val="44"/>
        </w:rPr>
        <w:t>山东省高等学校青年教师教学比赛</w:t>
      </w:r>
    </w:p>
    <w:p>
      <w:pPr>
        <w:widowControl/>
        <w:spacing w:after="585" w:afterLines="100" w:line="640" w:lineRule="exact"/>
        <w:jc w:val="center"/>
        <w:rPr>
          <w:rFonts w:ascii="黑体" w:hAnsi="黑体" w:eastAsia="黑体" w:cs="雅黑"/>
          <w:color w:val="000000"/>
          <w:kern w:val="0"/>
          <w:sz w:val="40"/>
          <w:szCs w:val="44"/>
        </w:rPr>
      </w:pPr>
      <w:r>
        <w:rPr>
          <w:rFonts w:hint="eastAsia" w:ascii="黑体" w:hAnsi="黑体" w:eastAsia="黑体" w:cs="雅黑"/>
          <w:color w:val="000000"/>
          <w:kern w:val="0"/>
          <w:sz w:val="40"/>
          <w:szCs w:val="44"/>
        </w:rPr>
        <w:t>优秀组织奖评选办法</w:t>
      </w:r>
    </w:p>
    <w:p>
      <w:pPr>
        <w:widowControl/>
        <w:shd w:val="clear" w:color="auto" w:fill="FFFFFF"/>
        <w:spacing w:line="518" w:lineRule="atLeast"/>
        <w:ind w:firstLine="677"/>
        <w:jc w:val="left"/>
        <w:rPr>
          <w:rFonts w:ascii="黑体" w:hAnsi="黑体" w:eastAsia="黑体" w:cs="宋体"/>
          <w:kern w:val="0"/>
          <w:sz w:val="28"/>
          <w:szCs w:val="32"/>
        </w:rPr>
      </w:pPr>
      <w:r>
        <w:rPr>
          <w:rFonts w:hint="eastAsia" w:ascii="黑体" w:hAnsi="黑体" w:eastAsia="黑体" w:cs="宋体"/>
          <w:kern w:val="0"/>
          <w:sz w:val="28"/>
          <w:szCs w:val="32"/>
        </w:rPr>
        <w:t>一、设奖数量</w:t>
      </w:r>
    </w:p>
    <w:p>
      <w:pPr>
        <w:spacing w:line="580" w:lineRule="exact"/>
        <w:ind w:firstLine="600" w:firstLineChars="200"/>
        <w:rPr>
          <w:rFonts w:ascii="仿宋_GB2312" w:hAnsi="等线" w:eastAsia="仿宋_GB2312"/>
          <w:sz w:val="28"/>
          <w:szCs w:val="32"/>
        </w:rPr>
      </w:pPr>
      <w:r>
        <w:rPr>
          <w:rFonts w:hint="eastAsia" w:ascii="仿宋_GB2312" w:hAnsi="等线" w:eastAsia="仿宋_GB2312"/>
          <w:sz w:val="28"/>
          <w:szCs w:val="32"/>
        </w:rPr>
        <w:t>全省高校青年教师教学比赛设立25个优秀组织奖。</w:t>
      </w:r>
    </w:p>
    <w:p>
      <w:pPr>
        <w:widowControl/>
        <w:shd w:val="clear" w:color="auto" w:fill="FFFFFF"/>
        <w:spacing w:line="518" w:lineRule="atLeast"/>
        <w:ind w:firstLine="677"/>
        <w:jc w:val="left"/>
        <w:rPr>
          <w:rFonts w:ascii="黑体" w:hAnsi="黑体" w:eastAsia="黑体" w:cs="宋体"/>
          <w:kern w:val="0"/>
          <w:sz w:val="28"/>
          <w:szCs w:val="32"/>
        </w:rPr>
      </w:pPr>
      <w:r>
        <w:rPr>
          <w:rFonts w:hint="eastAsia" w:ascii="黑体" w:hAnsi="黑体" w:eastAsia="黑体" w:cs="宋体"/>
          <w:kern w:val="0"/>
          <w:sz w:val="28"/>
          <w:szCs w:val="32"/>
        </w:rPr>
        <w:t>二、设奖依据</w:t>
      </w:r>
    </w:p>
    <w:p>
      <w:pPr>
        <w:spacing w:line="580" w:lineRule="exact"/>
        <w:ind w:firstLine="600" w:firstLineChars="200"/>
        <w:rPr>
          <w:rFonts w:ascii="仿宋_GB2312" w:hAnsi="等线" w:eastAsia="仿宋_GB2312"/>
          <w:sz w:val="28"/>
          <w:szCs w:val="32"/>
        </w:rPr>
      </w:pPr>
      <w:r>
        <w:rPr>
          <w:rFonts w:hint="eastAsia" w:ascii="仿宋_GB2312" w:hAnsi="等线" w:eastAsia="仿宋_GB2312"/>
          <w:sz w:val="28"/>
          <w:szCs w:val="32"/>
        </w:rPr>
        <w:t>（一）优秀组织奖。综合考虑各高校在全省高校青年教师教学比赛中的贡献度、参与度等因素，对贡献度、参与度两项得分之和综合排名前25名的高校，授予优秀组织奖。成绩并列时以省级比赛得分优先确定。</w:t>
      </w:r>
    </w:p>
    <w:p>
      <w:pPr>
        <w:spacing w:line="580" w:lineRule="exact"/>
        <w:ind w:firstLine="600" w:firstLineChars="200"/>
        <w:rPr>
          <w:rFonts w:ascii="仿宋_GB2312" w:hAnsi="等线" w:eastAsia="仿宋_GB2312"/>
          <w:sz w:val="28"/>
          <w:szCs w:val="32"/>
        </w:rPr>
      </w:pPr>
      <w:r>
        <w:rPr>
          <w:rFonts w:hint="eastAsia" w:ascii="仿宋_GB2312" w:hAnsi="等线" w:eastAsia="仿宋_GB2312"/>
          <w:sz w:val="28"/>
          <w:szCs w:val="32"/>
        </w:rPr>
        <w:t>1.贡献度。计算方法为：本校得分=参赛选手得分之和/参赛选手总数。参赛选手得分为：一等奖20分，二等奖10分，三等奖5分，优秀奖2分。</w:t>
      </w:r>
    </w:p>
    <w:p>
      <w:pPr>
        <w:spacing w:line="580" w:lineRule="exact"/>
        <w:ind w:firstLine="600" w:firstLineChars="200"/>
        <w:rPr>
          <w:rFonts w:ascii="仿宋_GB2312" w:hAnsi="等线" w:eastAsia="仿宋_GB2312"/>
          <w:sz w:val="28"/>
          <w:szCs w:val="32"/>
        </w:rPr>
      </w:pPr>
      <w:r>
        <w:rPr>
          <w:rFonts w:hint="eastAsia" w:ascii="仿宋_GB2312" w:hAnsi="等线" w:eastAsia="仿宋_GB2312"/>
          <w:sz w:val="28"/>
          <w:szCs w:val="32"/>
        </w:rPr>
        <w:t>2.参与度。计算方法为：</w:t>
      </w:r>
    </w:p>
    <w:p>
      <w:pPr>
        <w:spacing w:line="580" w:lineRule="exact"/>
        <w:ind w:firstLine="600" w:firstLineChars="200"/>
        <w:rPr>
          <w:rFonts w:ascii="仿宋_GB2312" w:hAnsi="等线" w:eastAsia="仿宋_GB2312"/>
          <w:sz w:val="28"/>
          <w:szCs w:val="32"/>
        </w:rPr>
      </w:pPr>
      <w:r>
        <w:rPr>
          <w:rFonts w:hint="eastAsia" w:ascii="仿宋_GB2312" w:hAnsi="等线" w:eastAsia="仿宋_GB2312"/>
          <w:sz w:val="28"/>
          <w:szCs w:val="32"/>
        </w:rPr>
        <w:t>（1）结合学校实际，制定本校教学比赛文件（含通知）20分，制定比赛激励政策，建立比赛机制，教师广泛参与比赛得10分（分配名额不足1按1人给予名额的学校，校内院系参赛率不低于85%）。</w:t>
      </w:r>
    </w:p>
    <w:p>
      <w:pPr>
        <w:spacing w:line="580" w:lineRule="exact"/>
        <w:ind w:firstLine="600" w:firstLineChars="200"/>
        <w:rPr>
          <w:rFonts w:ascii="仿宋_GB2312" w:hAnsi="等线" w:eastAsia="仿宋_GB2312"/>
          <w:sz w:val="28"/>
          <w:szCs w:val="32"/>
        </w:rPr>
      </w:pPr>
      <w:r>
        <w:rPr>
          <w:rFonts w:hint="eastAsia" w:ascii="仿宋_GB2312" w:hAnsi="等线" w:eastAsia="仿宋_GB2312"/>
          <w:sz w:val="28"/>
          <w:szCs w:val="32"/>
        </w:rPr>
        <w:t>（2）提交比赛过程性资料（含总结、视频、图片等）5分、比赛结果公示材料5分。</w:t>
      </w:r>
    </w:p>
    <w:p>
      <w:pPr>
        <w:spacing w:line="580" w:lineRule="exact"/>
        <w:ind w:firstLine="600" w:firstLineChars="200"/>
        <w:rPr>
          <w:rFonts w:ascii="仿宋_GB2312" w:hAnsi="等线" w:eastAsia="仿宋_GB2312"/>
          <w:sz w:val="28"/>
          <w:szCs w:val="32"/>
        </w:rPr>
      </w:pPr>
      <w:r>
        <w:rPr>
          <w:rFonts w:hint="eastAsia" w:ascii="仿宋_GB2312" w:hAnsi="等线" w:eastAsia="仿宋_GB2312"/>
          <w:sz w:val="28"/>
          <w:szCs w:val="32"/>
        </w:rPr>
        <w:t>（3）学校满额推荐参加全省高校青年教师教学比赛得10分。否则，每少1人减10分。</w:t>
      </w:r>
    </w:p>
    <w:p>
      <w:pPr>
        <w:spacing w:line="580" w:lineRule="exact"/>
        <w:ind w:firstLine="600" w:firstLineChars="200"/>
        <w:rPr>
          <w:rFonts w:ascii="仿宋_GB2312" w:hAnsi="等线" w:eastAsia="仿宋_GB2312"/>
          <w:sz w:val="28"/>
          <w:szCs w:val="32"/>
        </w:rPr>
      </w:pPr>
      <w:r>
        <w:rPr>
          <w:rFonts w:hint="eastAsia" w:ascii="仿宋_GB2312" w:hAnsi="等线" w:eastAsia="仿宋_GB2312"/>
          <w:sz w:val="28"/>
          <w:szCs w:val="32"/>
        </w:rPr>
        <w:t>3. 特别贡献分。承办复赛、决赛的单位授予特别贡献分50分。</w:t>
      </w:r>
    </w:p>
    <w:p>
      <w:pPr>
        <w:widowControl/>
        <w:shd w:val="clear" w:color="auto" w:fill="FFFFFF"/>
        <w:spacing w:line="518" w:lineRule="atLeast"/>
        <w:ind w:firstLine="677"/>
        <w:jc w:val="left"/>
        <w:rPr>
          <w:rFonts w:ascii="黑体" w:hAnsi="黑体" w:eastAsia="黑体" w:cs="宋体"/>
          <w:kern w:val="0"/>
          <w:sz w:val="28"/>
          <w:szCs w:val="32"/>
        </w:rPr>
      </w:pPr>
      <w:r>
        <w:rPr>
          <w:rFonts w:hint="eastAsia" w:ascii="黑体" w:hAnsi="黑体" w:eastAsia="黑体" w:cs="宋体"/>
          <w:kern w:val="0"/>
          <w:sz w:val="28"/>
          <w:szCs w:val="32"/>
        </w:rPr>
        <w:t>三、其他要求</w:t>
      </w:r>
    </w:p>
    <w:p>
      <w:pPr>
        <w:spacing w:line="580" w:lineRule="exact"/>
        <w:ind w:firstLine="600" w:firstLineChars="200"/>
        <w:rPr>
          <w:rFonts w:ascii="仿宋_GB2312" w:hAnsi="等线" w:eastAsia="仿宋_GB2312"/>
          <w:sz w:val="28"/>
          <w:szCs w:val="32"/>
        </w:rPr>
      </w:pPr>
      <w:r>
        <w:rPr>
          <w:rFonts w:hint="eastAsia" w:ascii="仿宋_GB2312" w:hAnsi="等线" w:eastAsia="仿宋_GB2312"/>
          <w:sz w:val="28"/>
          <w:szCs w:val="32"/>
        </w:rPr>
        <w:t>1.未满额推荐参加比赛的高校取消优秀组织奖资格。</w:t>
      </w:r>
    </w:p>
    <w:p>
      <w:pPr>
        <w:spacing w:line="580" w:lineRule="exact"/>
        <w:ind w:firstLine="600" w:firstLineChars="200"/>
        <w:rPr>
          <w:rFonts w:ascii="仿宋_GB2312" w:hAnsi="等线" w:eastAsia="仿宋_GB2312"/>
          <w:sz w:val="28"/>
          <w:szCs w:val="32"/>
        </w:rPr>
      </w:pPr>
      <w:r>
        <w:rPr>
          <w:rFonts w:hint="eastAsia" w:ascii="仿宋_GB2312" w:hAnsi="等线" w:eastAsia="仿宋_GB2312"/>
          <w:sz w:val="28"/>
          <w:szCs w:val="32"/>
        </w:rPr>
        <w:t>2.各高校按照上述要求，在校内比赛结束后一个月内（公示结束日起）连同有关佐证材料一并报省高师培训中心（统一制式的纸质版、电子版各一份），过时不再受理。</w:t>
      </w:r>
    </w:p>
    <w:p>
      <w:pPr>
        <w:spacing w:line="580" w:lineRule="exact"/>
        <w:ind w:firstLine="600" w:firstLineChars="200"/>
        <w:rPr>
          <w:rFonts w:ascii="仿宋_GB2312" w:hAnsi="等线" w:eastAsia="仿宋_GB2312" w:cs="Arial"/>
          <w:kern w:val="0"/>
          <w:sz w:val="28"/>
          <w:szCs w:val="32"/>
        </w:rPr>
        <w:sectPr>
          <w:footerReference r:id="rId3" w:type="default"/>
          <w:pgSz w:w="11907" w:h="16840"/>
          <w:pgMar w:top="1871" w:right="1531" w:bottom="1474" w:left="1531" w:header="0" w:footer="1701" w:gutter="0"/>
          <w:pgNumType w:fmt="numberInDash"/>
          <w:cols w:space="720" w:num="1"/>
          <w:docGrid w:type="linesAndChars" w:linePitch="585" w:charSpace="4135"/>
        </w:sectPr>
      </w:pPr>
      <w:r>
        <w:rPr>
          <w:rFonts w:hint="eastAsia" w:ascii="仿宋_GB2312" w:hAnsi="等线" w:eastAsia="仿宋_GB2312"/>
          <w:sz w:val="28"/>
          <w:szCs w:val="32"/>
        </w:rPr>
        <w:t>3.接收材料的地址及邮箱：济南市历下区文化东路88号，山东师范大学千佛山校区内师资培训楼省高师培训中心。电子</w:t>
      </w:r>
      <w:r>
        <w:rPr>
          <w:rFonts w:hint="eastAsia" w:ascii="仿宋_GB2312" w:hAnsi="等线" w:eastAsia="仿宋_GB2312" w:cs="Arial"/>
          <w:kern w:val="0"/>
          <w:sz w:val="28"/>
          <w:szCs w:val="32"/>
        </w:rPr>
        <w:t>邮箱sdgspx@126.com。</w:t>
      </w:r>
      <w:bookmarkEnd w:id="8"/>
      <w:bookmarkEnd w:id="9"/>
    </w:p>
    <w:p>
      <w:pPr>
        <w:widowControl/>
        <w:spacing w:line="580" w:lineRule="exact"/>
        <w:jc w:val="left"/>
        <w:rPr>
          <w:rFonts w:ascii="黑体" w:hAnsi="黑体" w:eastAsia="黑体"/>
          <w:sz w:val="28"/>
          <w:szCs w:val="32"/>
        </w:rPr>
      </w:pPr>
      <w:r>
        <w:rPr>
          <w:rFonts w:hint="eastAsia" w:ascii="黑体" w:hAnsi="黑体" w:eastAsia="黑体"/>
          <w:sz w:val="28"/>
          <w:szCs w:val="32"/>
        </w:rPr>
        <w:t>附件三</w:t>
      </w:r>
    </w:p>
    <w:p>
      <w:pPr>
        <w:widowControl/>
        <w:spacing w:line="560" w:lineRule="exact"/>
        <w:rPr>
          <w:rFonts w:ascii="黑体" w:hAnsi="黑体" w:eastAsia="黑体"/>
          <w:color w:val="000000"/>
          <w:kern w:val="0"/>
          <w:sz w:val="32"/>
          <w:szCs w:val="28"/>
        </w:rPr>
      </w:pPr>
    </w:p>
    <w:p>
      <w:pPr>
        <w:spacing w:line="480" w:lineRule="exact"/>
        <w:jc w:val="center"/>
        <w:rPr>
          <w:rFonts w:ascii="黑体" w:hAnsi="黑体" w:eastAsia="黑体" w:cs="雅黑"/>
          <w:color w:val="000000" w:themeColor="text1"/>
          <w:kern w:val="0"/>
          <w:sz w:val="36"/>
          <w:szCs w:val="44"/>
          <w14:textFill>
            <w14:solidFill>
              <w14:schemeClr w14:val="tx1"/>
            </w14:solidFill>
          </w14:textFill>
        </w:rPr>
      </w:pPr>
      <w:r>
        <w:rPr>
          <w:rFonts w:hint="eastAsia" w:ascii="黑体" w:hAnsi="黑体" w:eastAsia="黑体" w:cs="雅黑"/>
          <w:color w:val="000000" w:themeColor="text1"/>
          <w:kern w:val="0"/>
          <w:sz w:val="36"/>
          <w:szCs w:val="44"/>
          <w14:textFill>
            <w14:solidFill>
              <w14:schemeClr w14:val="tx1"/>
            </w14:solidFill>
          </w14:textFill>
        </w:rPr>
        <w:t>专家推荐汇总表</w:t>
      </w:r>
    </w:p>
    <w:p>
      <w:pPr>
        <w:jc w:val="left"/>
        <w:rPr>
          <w:rFonts w:eastAsia="仿宋_GB2312"/>
          <w:color w:val="000000"/>
          <w:sz w:val="32"/>
          <w:u w:val="single"/>
        </w:rPr>
      </w:pPr>
      <w:r>
        <w:rPr>
          <w:rFonts w:hint="eastAsia" w:ascii="宋体" w:hAnsi="宋体"/>
          <w:b/>
          <w:color w:val="000000"/>
          <w:szCs w:val="32"/>
        </w:rPr>
        <w:t>推荐单位：</w:t>
      </w:r>
      <w:r>
        <w:rPr>
          <w:rFonts w:hint="eastAsia" w:ascii="宋体" w:hAnsi="宋体"/>
          <w:b/>
          <w:color w:val="000000"/>
          <w:szCs w:val="32"/>
          <w:u w:val="single"/>
        </w:rPr>
        <w:t xml:space="preserve">                       </w:t>
      </w:r>
      <w:r>
        <w:rPr>
          <w:rFonts w:hint="eastAsia" w:ascii="宋体" w:hAnsi="宋体"/>
          <w:b/>
          <w:color w:val="000000"/>
          <w:szCs w:val="32"/>
        </w:rPr>
        <w:t xml:space="preserve">                                             联系人及电话：</w:t>
      </w:r>
      <w:r>
        <w:rPr>
          <w:rFonts w:hint="eastAsia" w:eastAsia="仿宋_GB2312"/>
          <w:color w:val="000000"/>
          <w:sz w:val="32"/>
          <w:u w:val="single"/>
        </w:rPr>
        <w:t xml:space="preserve">                   </w:t>
      </w:r>
    </w:p>
    <w:tbl>
      <w:tblPr>
        <w:tblStyle w:val="8"/>
        <w:tblW w:w="1431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418"/>
        <w:gridCol w:w="992"/>
        <w:gridCol w:w="4678"/>
        <w:gridCol w:w="2126"/>
        <w:gridCol w:w="184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exac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姓名</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性别</w:t>
            </w: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工作单位</w:t>
            </w: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8"/>
                <w:szCs w:val="28"/>
              </w:rPr>
            </w:pPr>
            <w:r>
              <w:rPr>
                <w:rFonts w:hint="eastAsia" w:ascii="仿宋" w:hAnsi="仿宋" w:eastAsia="仿宋"/>
                <w:color w:val="000000"/>
                <w:sz w:val="28"/>
                <w:szCs w:val="28"/>
              </w:rPr>
              <w:t xml:space="preserve">  授课专业</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联系方式</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2</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3</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4</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5</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6</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u w:val="single"/>
              </w:rPr>
            </w:pPr>
          </w:p>
        </w:tc>
      </w:tr>
    </w:tbl>
    <w:p>
      <w:pPr>
        <w:widowControl/>
        <w:spacing w:line="560" w:lineRule="exact"/>
        <w:rPr>
          <w:rFonts w:ascii="黑体" w:hAnsi="黑体" w:eastAsia="黑体"/>
          <w:color w:val="000000"/>
          <w:kern w:val="0"/>
          <w:sz w:val="32"/>
          <w:szCs w:val="28"/>
        </w:rPr>
      </w:pPr>
    </w:p>
    <w:sectPr>
      <w:pgSz w:w="16840" w:h="11907" w:orient="landscape"/>
      <w:pgMar w:top="1531" w:right="1474" w:bottom="1531" w:left="1871" w:header="0" w:footer="1701" w:gutter="0"/>
      <w:pgNumType w:fmt="numberInDash"/>
      <w:cols w:space="720" w:num="1"/>
      <w:docGrid w:type="linesAndChars" w:linePitch="585" w:charSpace="41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雅黑">
    <w:altName w:val="黑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w:t>
    </w:r>
    <w:r>
      <w:t xml:space="preserve"> 24 -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5"/>
  <w:drawingGridVerticalSpacing w:val="5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46"/>
    <w:rsid w:val="00002071"/>
    <w:rsid w:val="00013CCC"/>
    <w:rsid w:val="00014887"/>
    <w:rsid w:val="00020C5C"/>
    <w:rsid w:val="00021714"/>
    <w:rsid w:val="000268B8"/>
    <w:rsid w:val="000319F4"/>
    <w:rsid w:val="000344ED"/>
    <w:rsid w:val="00036608"/>
    <w:rsid w:val="00036D4E"/>
    <w:rsid w:val="00045B2A"/>
    <w:rsid w:val="0005247B"/>
    <w:rsid w:val="00054399"/>
    <w:rsid w:val="0005642B"/>
    <w:rsid w:val="00057F9F"/>
    <w:rsid w:val="000614B3"/>
    <w:rsid w:val="00062DC4"/>
    <w:rsid w:val="000644ED"/>
    <w:rsid w:val="000735B1"/>
    <w:rsid w:val="00073E1E"/>
    <w:rsid w:val="00076A3D"/>
    <w:rsid w:val="00077DF4"/>
    <w:rsid w:val="00077E51"/>
    <w:rsid w:val="0009768F"/>
    <w:rsid w:val="00097D41"/>
    <w:rsid w:val="000A0DE7"/>
    <w:rsid w:val="000A2193"/>
    <w:rsid w:val="000A42FF"/>
    <w:rsid w:val="000B05BE"/>
    <w:rsid w:val="000B2E68"/>
    <w:rsid w:val="000C1308"/>
    <w:rsid w:val="000C5AA9"/>
    <w:rsid w:val="000D3898"/>
    <w:rsid w:val="000D45C0"/>
    <w:rsid w:val="000D5927"/>
    <w:rsid w:val="000E1E22"/>
    <w:rsid w:val="000E3DAF"/>
    <w:rsid w:val="000E78CB"/>
    <w:rsid w:val="000F4FF2"/>
    <w:rsid w:val="00102A13"/>
    <w:rsid w:val="00105B31"/>
    <w:rsid w:val="00106DC9"/>
    <w:rsid w:val="00106E35"/>
    <w:rsid w:val="00110B7F"/>
    <w:rsid w:val="00113D82"/>
    <w:rsid w:val="00115AFA"/>
    <w:rsid w:val="0012076C"/>
    <w:rsid w:val="00124141"/>
    <w:rsid w:val="0013166B"/>
    <w:rsid w:val="0013295E"/>
    <w:rsid w:val="00136E12"/>
    <w:rsid w:val="0013776C"/>
    <w:rsid w:val="00145B63"/>
    <w:rsid w:val="00146B69"/>
    <w:rsid w:val="00151C79"/>
    <w:rsid w:val="001524E6"/>
    <w:rsid w:val="00156BC4"/>
    <w:rsid w:val="00170547"/>
    <w:rsid w:val="0017258C"/>
    <w:rsid w:val="00177327"/>
    <w:rsid w:val="001922F2"/>
    <w:rsid w:val="00193081"/>
    <w:rsid w:val="0019420D"/>
    <w:rsid w:val="0019522B"/>
    <w:rsid w:val="001B03C3"/>
    <w:rsid w:val="001B1B38"/>
    <w:rsid w:val="001C2998"/>
    <w:rsid w:val="001C79CC"/>
    <w:rsid w:val="001D248B"/>
    <w:rsid w:val="001D32F6"/>
    <w:rsid w:val="001D3BB8"/>
    <w:rsid w:val="001D40AD"/>
    <w:rsid w:val="001D40DA"/>
    <w:rsid w:val="001E6534"/>
    <w:rsid w:val="001F40F6"/>
    <w:rsid w:val="001F424C"/>
    <w:rsid w:val="001F5413"/>
    <w:rsid w:val="001F668A"/>
    <w:rsid w:val="002027DA"/>
    <w:rsid w:val="00204B1C"/>
    <w:rsid w:val="00205025"/>
    <w:rsid w:val="002055FB"/>
    <w:rsid w:val="00210883"/>
    <w:rsid w:val="00212BA8"/>
    <w:rsid w:val="00213FAD"/>
    <w:rsid w:val="00217858"/>
    <w:rsid w:val="00222D88"/>
    <w:rsid w:val="00234979"/>
    <w:rsid w:val="00237156"/>
    <w:rsid w:val="00237911"/>
    <w:rsid w:val="0024176B"/>
    <w:rsid w:val="00251C38"/>
    <w:rsid w:val="00261C74"/>
    <w:rsid w:val="00262796"/>
    <w:rsid w:val="00266DA6"/>
    <w:rsid w:val="00273717"/>
    <w:rsid w:val="0027699E"/>
    <w:rsid w:val="0028046F"/>
    <w:rsid w:val="00283EA5"/>
    <w:rsid w:val="00286C5C"/>
    <w:rsid w:val="00286E15"/>
    <w:rsid w:val="0029405C"/>
    <w:rsid w:val="002A348E"/>
    <w:rsid w:val="002A3733"/>
    <w:rsid w:val="002B0584"/>
    <w:rsid w:val="002B7E10"/>
    <w:rsid w:val="002C7169"/>
    <w:rsid w:val="002D2AFD"/>
    <w:rsid w:val="002D5727"/>
    <w:rsid w:val="002D6974"/>
    <w:rsid w:val="002E4B4C"/>
    <w:rsid w:val="002F5E47"/>
    <w:rsid w:val="00300A53"/>
    <w:rsid w:val="003018AA"/>
    <w:rsid w:val="00301B8E"/>
    <w:rsid w:val="00307C1C"/>
    <w:rsid w:val="003179A4"/>
    <w:rsid w:val="00323CDB"/>
    <w:rsid w:val="00325111"/>
    <w:rsid w:val="00325B78"/>
    <w:rsid w:val="00332EF1"/>
    <w:rsid w:val="00333C9C"/>
    <w:rsid w:val="00341675"/>
    <w:rsid w:val="00344661"/>
    <w:rsid w:val="00344D93"/>
    <w:rsid w:val="0035372F"/>
    <w:rsid w:val="003548AA"/>
    <w:rsid w:val="00355773"/>
    <w:rsid w:val="003558D1"/>
    <w:rsid w:val="00361FD2"/>
    <w:rsid w:val="00370B3D"/>
    <w:rsid w:val="00375339"/>
    <w:rsid w:val="00376DAC"/>
    <w:rsid w:val="00382A3E"/>
    <w:rsid w:val="003830EF"/>
    <w:rsid w:val="00390C60"/>
    <w:rsid w:val="003A381B"/>
    <w:rsid w:val="003B21E6"/>
    <w:rsid w:val="003B614F"/>
    <w:rsid w:val="003C1078"/>
    <w:rsid w:val="003C509E"/>
    <w:rsid w:val="003C633A"/>
    <w:rsid w:val="003D5123"/>
    <w:rsid w:val="003D5A46"/>
    <w:rsid w:val="003E533A"/>
    <w:rsid w:val="003E5D0D"/>
    <w:rsid w:val="003F0485"/>
    <w:rsid w:val="00403E7E"/>
    <w:rsid w:val="00406B15"/>
    <w:rsid w:val="00412285"/>
    <w:rsid w:val="00414BB7"/>
    <w:rsid w:val="00414CBF"/>
    <w:rsid w:val="00414E25"/>
    <w:rsid w:val="00415FED"/>
    <w:rsid w:val="00417708"/>
    <w:rsid w:val="0042556D"/>
    <w:rsid w:val="004267C6"/>
    <w:rsid w:val="00431A55"/>
    <w:rsid w:val="00433785"/>
    <w:rsid w:val="00436569"/>
    <w:rsid w:val="004504F6"/>
    <w:rsid w:val="004511D7"/>
    <w:rsid w:val="0045271A"/>
    <w:rsid w:val="00452EEA"/>
    <w:rsid w:val="0045619F"/>
    <w:rsid w:val="004570DD"/>
    <w:rsid w:val="004635E7"/>
    <w:rsid w:val="0047121A"/>
    <w:rsid w:val="004751F7"/>
    <w:rsid w:val="00477914"/>
    <w:rsid w:val="00480610"/>
    <w:rsid w:val="00480EB4"/>
    <w:rsid w:val="00482940"/>
    <w:rsid w:val="00490783"/>
    <w:rsid w:val="00491754"/>
    <w:rsid w:val="004927C0"/>
    <w:rsid w:val="004930F3"/>
    <w:rsid w:val="004963B7"/>
    <w:rsid w:val="004A0FDA"/>
    <w:rsid w:val="004A5C03"/>
    <w:rsid w:val="004A680A"/>
    <w:rsid w:val="004A7E4D"/>
    <w:rsid w:val="004C3296"/>
    <w:rsid w:val="004E06F5"/>
    <w:rsid w:val="004E0A5B"/>
    <w:rsid w:val="004F084B"/>
    <w:rsid w:val="004F123F"/>
    <w:rsid w:val="004F4705"/>
    <w:rsid w:val="004F479D"/>
    <w:rsid w:val="004F54BE"/>
    <w:rsid w:val="0050162D"/>
    <w:rsid w:val="00505B48"/>
    <w:rsid w:val="005122F5"/>
    <w:rsid w:val="0051627E"/>
    <w:rsid w:val="0053512F"/>
    <w:rsid w:val="00537A05"/>
    <w:rsid w:val="0054043A"/>
    <w:rsid w:val="005664C4"/>
    <w:rsid w:val="00566F8F"/>
    <w:rsid w:val="00570CA2"/>
    <w:rsid w:val="00581321"/>
    <w:rsid w:val="00584B30"/>
    <w:rsid w:val="005A1A16"/>
    <w:rsid w:val="005A3B10"/>
    <w:rsid w:val="005A441F"/>
    <w:rsid w:val="005A5C4C"/>
    <w:rsid w:val="005B5172"/>
    <w:rsid w:val="005B5212"/>
    <w:rsid w:val="005B69D4"/>
    <w:rsid w:val="005B70CC"/>
    <w:rsid w:val="005C6406"/>
    <w:rsid w:val="005C7A40"/>
    <w:rsid w:val="005D0080"/>
    <w:rsid w:val="005D3095"/>
    <w:rsid w:val="005D3604"/>
    <w:rsid w:val="005D5BEF"/>
    <w:rsid w:val="005D6060"/>
    <w:rsid w:val="005F7DFC"/>
    <w:rsid w:val="00604BEE"/>
    <w:rsid w:val="00612DCD"/>
    <w:rsid w:val="006131B7"/>
    <w:rsid w:val="006167A3"/>
    <w:rsid w:val="00621BCF"/>
    <w:rsid w:val="00627302"/>
    <w:rsid w:val="006276A4"/>
    <w:rsid w:val="00633E7F"/>
    <w:rsid w:val="0063541A"/>
    <w:rsid w:val="00643656"/>
    <w:rsid w:val="00643C64"/>
    <w:rsid w:val="006460CD"/>
    <w:rsid w:val="006462E2"/>
    <w:rsid w:val="006464FA"/>
    <w:rsid w:val="00647824"/>
    <w:rsid w:val="00650492"/>
    <w:rsid w:val="00650BB0"/>
    <w:rsid w:val="00651961"/>
    <w:rsid w:val="00660A95"/>
    <w:rsid w:val="00660DBB"/>
    <w:rsid w:val="00661DD8"/>
    <w:rsid w:val="00687919"/>
    <w:rsid w:val="00696A94"/>
    <w:rsid w:val="006A0C4D"/>
    <w:rsid w:val="006B3961"/>
    <w:rsid w:val="006C146E"/>
    <w:rsid w:val="006C4B3D"/>
    <w:rsid w:val="006C5785"/>
    <w:rsid w:val="006D0904"/>
    <w:rsid w:val="006D1F16"/>
    <w:rsid w:val="006D2754"/>
    <w:rsid w:val="006D73DF"/>
    <w:rsid w:val="006E4501"/>
    <w:rsid w:val="006E5916"/>
    <w:rsid w:val="006E7542"/>
    <w:rsid w:val="006E786D"/>
    <w:rsid w:val="006F2F33"/>
    <w:rsid w:val="006F386C"/>
    <w:rsid w:val="00705B73"/>
    <w:rsid w:val="00707F41"/>
    <w:rsid w:val="0071050D"/>
    <w:rsid w:val="0071092A"/>
    <w:rsid w:val="00710932"/>
    <w:rsid w:val="0071095C"/>
    <w:rsid w:val="007155CF"/>
    <w:rsid w:val="00720457"/>
    <w:rsid w:val="00721F51"/>
    <w:rsid w:val="00724EA6"/>
    <w:rsid w:val="0072717D"/>
    <w:rsid w:val="007302C0"/>
    <w:rsid w:val="00732549"/>
    <w:rsid w:val="00732B05"/>
    <w:rsid w:val="00732D54"/>
    <w:rsid w:val="00733AA9"/>
    <w:rsid w:val="00734D8C"/>
    <w:rsid w:val="00736E6D"/>
    <w:rsid w:val="007407B7"/>
    <w:rsid w:val="00740CA3"/>
    <w:rsid w:val="00740CA7"/>
    <w:rsid w:val="00742D5A"/>
    <w:rsid w:val="0075040B"/>
    <w:rsid w:val="00755833"/>
    <w:rsid w:val="007560B1"/>
    <w:rsid w:val="007612CB"/>
    <w:rsid w:val="007658E7"/>
    <w:rsid w:val="00765E30"/>
    <w:rsid w:val="0077185B"/>
    <w:rsid w:val="00773948"/>
    <w:rsid w:val="007816D2"/>
    <w:rsid w:val="00784065"/>
    <w:rsid w:val="00787DB4"/>
    <w:rsid w:val="007A16EC"/>
    <w:rsid w:val="007A1C12"/>
    <w:rsid w:val="007A32EE"/>
    <w:rsid w:val="007A7516"/>
    <w:rsid w:val="007B00A1"/>
    <w:rsid w:val="007B3D4E"/>
    <w:rsid w:val="007B449B"/>
    <w:rsid w:val="007B640D"/>
    <w:rsid w:val="007D2C0F"/>
    <w:rsid w:val="007D3970"/>
    <w:rsid w:val="007D5203"/>
    <w:rsid w:val="007E2600"/>
    <w:rsid w:val="007E78DD"/>
    <w:rsid w:val="007F03FA"/>
    <w:rsid w:val="007F0784"/>
    <w:rsid w:val="007F5CB1"/>
    <w:rsid w:val="0080601C"/>
    <w:rsid w:val="00813146"/>
    <w:rsid w:val="008147EC"/>
    <w:rsid w:val="00820530"/>
    <w:rsid w:val="00820F83"/>
    <w:rsid w:val="008231E2"/>
    <w:rsid w:val="0082641E"/>
    <w:rsid w:val="0083240E"/>
    <w:rsid w:val="0084127A"/>
    <w:rsid w:val="0084255B"/>
    <w:rsid w:val="00843351"/>
    <w:rsid w:val="008444FC"/>
    <w:rsid w:val="0085245E"/>
    <w:rsid w:val="008525B4"/>
    <w:rsid w:val="00854493"/>
    <w:rsid w:val="0085774A"/>
    <w:rsid w:val="00857E70"/>
    <w:rsid w:val="00860B76"/>
    <w:rsid w:val="00861B20"/>
    <w:rsid w:val="00862128"/>
    <w:rsid w:val="00866DE7"/>
    <w:rsid w:val="008719B8"/>
    <w:rsid w:val="00874AF9"/>
    <w:rsid w:val="00876348"/>
    <w:rsid w:val="00883D81"/>
    <w:rsid w:val="00883FBC"/>
    <w:rsid w:val="00886371"/>
    <w:rsid w:val="00886A2A"/>
    <w:rsid w:val="008939B9"/>
    <w:rsid w:val="008A2546"/>
    <w:rsid w:val="008A4EE4"/>
    <w:rsid w:val="008B6BB6"/>
    <w:rsid w:val="008C5FD6"/>
    <w:rsid w:val="008D4574"/>
    <w:rsid w:val="008E1CC5"/>
    <w:rsid w:val="008E24EA"/>
    <w:rsid w:val="008E300B"/>
    <w:rsid w:val="008E3575"/>
    <w:rsid w:val="008E75FE"/>
    <w:rsid w:val="008E7BD6"/>
    <w:rsid w:val="008F2F7D"/>
    <w:rsid w:val="008F544D"/>
    <w:rsid w:val="008F7A39"/>
    <w:rsid w:val="00900104"/>
    <w:rsid w:val="00906B40"/>
    <w:rsid w:val="009103EB"/>
    <w:rsid w:val="0091474F"/>
    <w:rsid w:val="0091529A"/>
    <w:rsid w:val="0091760E"/>
    <w:rsid w:val="0092040D"/>
    <w:rsid w:val="00920DE7"/>
    <w:rsid w:val="009215D2"/>
    <w:rsid w:val="009238DF"/>
    <w:rsid w:val="0092685E"/>
    <w:rsid w:val="00931123"/>
    <w:rsid w:val="009312CC"/>
    <w:rsid w:val="00931A49"/>
    <w:rsid w:val="00932AA3"/>
    <w:rsid w:val="00933AE7"/>
    <w:rsid w:val="0094078F"/>
    <w:rsid w:val="009416ED"/>
    <w:rsid w:val="00947F87"/>
    <w:rsid w:val="009562DF"/>
    <w:rsid w:val="00961E68"/>
    <w:rsid w:val="009663B1"/>
    <w:rsid w:val="009671CB"/>
    <w:rsid w:val="00971CA1"/>
    <w:rsid w:val="00976A59"/>
    <w:rsid w:val="00991618"/>
    <w:rsid w:val="0099251A"/>
    <w:rsid w:val="00993B53"/>
    <w:rsid w:val="009976BA"/>
    <w:rsid w:val="009A078D"/>
    <w:rsid w:val="009A2C87"/>
    <w:rsid w:val="009B74D8"/>
    <w:rsid w:val="009C0869"/>
    <w:rsid w:val="009C42F9"/>
    <w:rsid w:val="009D652F"/>
    <w:rsid w:val="009D77D1"/>
    <w:rsid w:val="009E0207"/>
    <w:rsid w:val="009F0719"/>
    <w:rsid w:val="009F2E2F"/>
    <w:rsid w:val="009F4D8E"/>
    <w:rsid w:val="009F5FF5"/>
    <w:rsid w:val="009F7E1E"/>
    <w:rsid w:val="00A068FD"/>
    <w:rsid w:val="00A12AA2"/>
    <w:rsid w:val="00A163F6"/>
    <w:rsid w:val="00A16AE5"/>
    <w:rsid w:val="00A33413"/>
    <w:rsid w:val="00A336F0"/>
    <w:rsid w:val="00A34A9B"/>
    <w:rsid w:val="00A443C2"/>
    <w:rsid w:val="00A45388"/>
    <w:rsid w:val="00A4604A"/>
    <w:rsid w:val="00A51D18"/>
    <w:rsid w:val="00A54956"/>
    <w:rsid w:val="00A57CEC"/>
    <w:rsid w:val="00A643AB"/>
    <w:rsid w:val="00A64B37"/>
    <w:rsid w:val="00A65A49"/>
    <w:rsid w:val="00A66F90"/>
    <w:rsid w:val="00A670C7"/>
    <w:rsid w:val="00A702D0"/>
    <w:rsid w:val="00A74279"/>
    <w:rsid w:val="00A83383"/>
    <w:rsid w:val="00A872B6"/>
    <w:rsid w:val="00AA7F60"/>
    <w:rsid w:val="00AC3659"/>
    <w:rsid w:val="00AC6FA3"/>
    <w:rsid w:val="00AD04E2"/>
    <w:rsid w:val="00AD57D0"/>
    <w:rsid w:val="00AE37F4"/>
    <w:rsid w:val="00AE4BE7"/>
    <w:rsid w:val="00AF22F0"/>
    <w:rsid w:val="00AF3729"/>
    <w:rsid w:val="00AF4174"/>
    <w:rsid w:val="00B01447"/>
    <w:rsid w:val="00B02C41"/>
    <w:rsid w:val="00B13764"/>
    <w:rsid w:val="00B23C01"/>
    <w:rsid w:val="00B25F99"/>
    <w:rsid w:val="00B2760E"/>
    <w:rsid w:val="00B31FF6"/>
    <w:rsid w:val="00B36B28"/>
    <w:rsid w:val="00B47827"/>
    <w:rsid w:val="00B50707"/>
    <w:rsid w:val="00B51FF7"/>
    <w:rsid w:val="00B5565F"/>
    <w:rsid w:val="00B576B8"/>
    <w:rsid w:val="00B61226"/>
    <w:rsid w:val="00B72C40"/>
    <w:rsid w:val="00B75BA0"/>
    <w:rsid w:val="00B906E0"/>
    <w:rsid w:val="00BA00C4"/>
    <w:rsid w:val="00BA2B7E"/>
    <w:rsid w:val="00BA3275"/>
    <w:rsid w:val="00BA3F3D"/>
    <w:rsid w:val="00BB2701"/>
    <w:rsid w:val="00BB6CC2"/>
    <w:rsid w:val="00BC2746"/>
    <w:rsid w:val="00BC4281"/>
    <w:rsid w:val="00BD4190"/>
    <w:rsid w:val="00BD765F"/>
    <w:rsid w:val="00BD7E35"/>
    <w:rsid w:val="00BE00D9"/>
    <w:rsid w:val="00BE0E3D"/>
    <w:rsid w:val="00BE123C"/>
    <w:rsid w:val="00BE1768"/>
    <w:rsid w:val="00BE1AED"/>
    <w:rsid w:val="00BE4903"/>
    <w:rsid w:val="00BE775A"/>
    <w:rsid w:val="00C00777"/>
    <w:rsid w:val="00C02998"/>
    <w:rsid w:val="00C04188"/>
    <w:rsid w:val="00C044E5"/>
    <w:rsid w:val="00C04708"/>
    <w:rsid w:val="00C07670"/>
    <w:rsid w:val="00C07D18"/>
    <w:rsid w:val="00C1381B"/>
    <w:rsid w:val="00C1544F"/>
    <w:rsid w:val="00C20AF0"/>
    <w:rsid w:val="00C27307"/>
    <w:rsid w:val="00C278A8"/>
    <w:rsid w:val="00C30592"/>
    <w:rsid w:val="00C3091C"/>
    <w:rsid w:val="00C31610"/>
    <w:rsid w:val="00C368AC"/>
    <w:rsid w:val="00C37F66"/>
    <w:rsid w:val="00C417B8"/>
    <w:rsid w:val="00C4247E"/>
    <w:rsid w:val="00C476A3"/>
    <w:rsid w:val="00C6298F"/>
    <w:rsid w:val="00C732AD"/>
    <w:rsid w:val="00C7351D"/>
    <w:rsid w:val="00C807F1"/>
    <w:rsid w:val="00C80C74"/>
    <w:rsid w:val="00C8135A"/>
    <w:rsid w:val="00C81C8B"/>
    <w:rsid w:val="00C853C9"/>
    <w:rsid w:val="00C90F21"/>
    <w:rsid w:val="00CA15FF"/>
    <w:rsid w:val="00CA3E57"/>
    <w:rsid w:val="00CA673A"/>
    <w:rsid w:val="00CA71EF"/>
    <w:rsid w:val="00CB73FF"/>
    <w:rsid w:val="00CC00A4"/>
    <w:rsid w:val="00CC2E91"/>
    <w:rsid w:val="00CD537A"/>
    <w:rsid w:val="00CD5D72"/>
    <w:rsid w:val="00CD6C1A"/>
    <w:rsid w:val="00CD7BB2"/>
    <w:rsid w:val="00CE6625"/>
    <w:rsid w:val="00CF0943"/>
    <w:rsid w:val="00CF5AAC"/>
    <w:rsid w:val="00D01FD9"/>
    <w:rsid w:val="00D02A69"/>
    <w:rsid w:val="00D03AB1"/>
    <w:rsid w:val="00D042F3"/>
    <w:rsid w:val="00D04964"/>
    <w:rsid w:val="00D13875"/>
    <w:rsid w:val="00D22AA6"/>
    <w:rsid w:val="00D24E9D"/>
    <w:rsid w:val="00D27811"/>
    <w:rsid w:val="00D331D1"/>
    <w:rsid w:val="00D34EF8"/>
    <w:rsid w:val="00D35B00"/>
    <w:rsid w:val="00D364A5"/>
    <w:rsid w:val="00D41A74"/>
    <w:rsid w:val="00D52C33"/>
    <w:rsid w:val="00D54242"/>
    <w:rsid w:val="00D60A1E"/>
    <w:rsid w:val="00D641E6"/>
    <w:rsid w:val="00D64696"/>
    <w:rsid w:val="00D65775"/>
    <w:rsid w:val="00D74514"/>
    <w:rsid w:val="00D753D1"/>
    <w:rsid w:val="00D82177"/>
    <w:rsid w:val="00D83E73"/>
    <w:rsid w:val="00D941B1"/>
    <w:rsid w:val="00DA68CF"/>
    <w:rsid w:val="00DA6BEC"/>
    <w:rsid w:val="00DB4713"/>
    <w:rsid w:val="00DC2350"/>
    <w:rsid w:val="00DD5CE4"/>
    <w:rsid w:val="00DD6160"/>
    <w:rsid w:val="00DD7415"/>
    <w:rsid w:val="00DD789C"/>
    <w:rsid w:val="00DD7DFB"/>
    <w:rsid w:val="00DE5641"/>
    <w:rsid w:val="00DE6420"/>
    <w:rsid w:val="00E052E7"/>
    <w:rsid w:val="00E06F9B"/>
    <w:rsid w:val="00E07874"/>
    <w:rsid w:val="00E07F99"/>
    <w:rsid w:val="00E15DE9"/>
    <w:rsid w:val="00E33326"/>
    <w:rsid w:val="00E35528"/>
    <w:rsid w:val="00E3596C"/>
    <w:rsid w:val="00E4042D"/>
    <w:rsid w:val="00E44D4C"/>
    <w:rsid w:val="00E45C2D"/>
    <w:rsid w:val="00E503E3"/>
    <w:rsid w:val="00E52146"/>
    <w:rsid w:val="00E564F8"/>
    <w:rsid w:val="00E5659D"/>
    <w:rsid w:val="00E5718B"/>
    <w:rsid w:val="00E57B42"/>
    <w:rsid w:val="00E6014F"/>
    <w:rsid w:val="00E61CB3"/>
    <w:rsid w:val="00E61F12"/>
    <w:rsid w:val="00E67C8C"/>
    <w:rsid w:val="00E70B0F"/>
    <w:rsid w:val="00E74EAF"/>
    <w:rsid w:val="00E82BA5"/>
    <w:rsid w:val="00E85550"/>
    <w:rsid w:val="00E867B1"/>
    <w:rsid w:val="00E86DA7"/>
    <w:rsid w:val="00EA2CD7"/>
    <w:rsid w:val="00EA3697"/>
    <w:rsid w:val="00EB1ACA"/>
    <w:rsid w:val="00EB780B"/>
    <w:rsid w:val="00EC35AF"/>
    <w:rsid w:val="00EC69E1"/>
    <w:rsid w:val="00ED6244"/>
    <w:rsid w:val="00ED6A33"/>
    <w:rsid w:val="00ED7D23"/>
    <w:rsid w:val="00EE0DEB"/>
    <w:rsid w:val="00EE11E4"/>
    <w:rsid w:val="00EE22FA"/>
    <w:rsid w:val="00EE23FD"/>
    <w:rsid w:val="00EE55E6"/>
    <w:rsid w:val="00EE5E37"/>
    <w:rsid w:val="00EF0CF5"/>
    <w:rsid w:val="00EF2289"/>
    <w:rsid w:val="00EF2D65"/>
    <w:rsid w:val="00F0003A"/>
    <w:rsid w:val="00F02041"/>
    <w:rsid w:val="00F03740"/>
    <w:rsid w:val="00F06709"/>
    <w:rsid w:val="00F15B40"/>
    <w:rsid w:val="00F21E50"/>
    <w:rsid w:val="00F21FB3"/>
    <w:rsid w:val="00F22978"/>
    <w:rsid w:val="00F2318C"/>
    <w:rsid w:val="00F238D2"/>
    <w:rsid w:val="00F35957"/>
    <w:rsid w:val="00F45064"/>
    <w:rsid w:val="00F476CB"/>
    <w:rsid w:val="00F47A2B"/>
    <w:rsid w:val="00F5760D"/>
    <w:rsid w:val="00F61D72"/>
    <w:rsid w:val="00F679EA"/>
    <w:rsid w:val="00F740AA"/>
    <w:rsid w:val="00F749D9"/>
    <w:rsid w:val="00F7664B"/>
    <w:rsid w:val="00F76707"/>
    <w:rsid w:val="00F87810"/>
    <w:rsid w:val="00F90F00"/>
    <w:rsid w:val="00F95BB5"/>
    <w:rsid w:val="00FA2C20"/>
    <w:rsid w:val="00FA4E74"/>
    <w:rsid w:val="00FA4FF0"/>
    <w:rsid w:val="00FA7520"/>
    <w:rsid w:val="00FB2D91"/>
    <w:rsid w:val="00FB6FB0"/>
    <w:rsid w:val="00FC1F51"/>
    <w:rsid w:val="00FC3CA7"/>
    <w:rsid w:val="00FC5167"/>
    <w:rsid w:val="00FC7F76"/>
    <w:rsid w:val="00FD6CDC"/>
    <w:rsid w:val="00FD76C8"/>
    <w:rsid w:val="00FF03E6"/>
    <w:rsid w:val="00FF58EC"/>
    <w:rsid w:val="645D2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100" w:beforeAutospacing="1" w:after="100" w:afterAutospacing="1"/>
      <w:jc w:val="left"/>
    </w:pPr>
    <w:rPr>
      <w:kern w:val="0"/>
      <w:sz w:val="24"/>
      <w:szCs w:val="21"/>
    </w:rPr>
  </w:style>
  <w:style w:type="character" w:styleId="7">
    <w:name w:val="Hyperlink"/>
    <w:basedOn w:val="6"/>
    <w:unhideWhenUsed/>
    <w:uiPriority w:val="99"/>
    <w:rPr>
      <w:color w:val="0563C1" w:themeColor="hyperlink"/>
      <w:u w:val="single"/>
      <w14:textFill>
        <w14:solidFill>
          <w14:schemeClr w14:val="hlink"/>
        </w14:solidFill>
      </w14:textFill>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未处理的提及1"/>
    <w:basedOn w:val="6"/>
    <w:semiHidden/>
    <w:unhideWhenUsed/>
    <w:uiPriority w:val="99"/>
    <w:rPr>
      <w:color w:val="605E5C"/>
      <w:shd w:val="clear" w:color="auto" w:fill="E1DFDD"/>
    </w:rPr>
  </w:style>
  <w:style w:type="character" w:customStyle="1" w:styleId="12">
    <w:name w:val="页眉 字符"/>
    <w:basedOn w:val="6"/>
    <w:link w:val="4"/>
    <w:uiPriority w:val="99"/>
    <w:rPr>
      <w:rFonts w:ascii="Times New Roman" w:hAnsi="Times New Roman" w:eastAsia="宋体" w:cs="Times New Roman"/>
      <w:sz w:val="18"/>
      <w:szCs w:val="18"/>
    </w:rPr>
  </w:style>
  <w:style w:type="character" w:customStyle="1" w:styleId="13">
    <w:name w:val="页脚 字符1"/>
    <w:basedOn w:val="6"/>
    <w:link w:val="3"/>
    <w:uiPriority w:val="99"/>
    <w:rPr>
      <w:rFonts w:ascii="Times New Roman" w:hAnsi="Times New Roman" w:eastAsia="宋体" w:cs="Times New Roman"/>
      <w:sz w:val="18"/>
      <w:szCs w:val="18"/>
    </w:rPr>
  </w:style>
  <w:style w:type="character" w:customStyle="1" w:styleId="14">
    <w:name w:val="批注框文本 字符"/>
    <w:basedOn w:val="6"/>
    <w:link w:val="2"/>
    <w:semiHidden/>
    <w:uiPriority w:val="99"/>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 w:type="character" w:customStyle="1" w:styleId="16">
    <w:name w:val="页脚 字符"/>
    <w:qFormat/>
    <w:uiPriority w:val="99"/>
    <w:rPr>
      <w:kern w:val="2"/>
      <w:sz w:val="18"/>
      <w:szCs w:val="18"/>
    </w:rPr>
  </w:style>
  <w:style w:type="character" w:customStyle="1" w:styleId="17">
    <w:name w:val="16"/>
    <w:basedOn w:val="6"/>
    <w:qFormat/>
    <w:uiPriority w:val="0"/>
    <w:rPr>
      <w:rFonts w:hint="default" w:ascii="Times New Roman" w:hAnsi="Times New Roman" w:cs="Times New Roman"/>
      <w:color w:val="333333"/>
    </w:rPr>
  </w:style>
  <w:style w:type="paragraph" w:customStyle="1" w:styleId="18">
    <w:name w:val="无间隔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9">
    <w:name w:val="列出段落1"/>
    <w:basedOn w:val="1"/>
    <w:qFormat/>
    <w:uiPriority w:val="34"/>
    <w:pPr>
      <w:ind w:firstLine="420" w:firstLineChars="200"/>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F9494A-1039-47E2-A3D8-A640C5E15B45}">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1624</Words>
  <Characters>9261</Characters>
  <Lines>77</Lines>
  <Paragraphs>21</Paragraphs>
  <TotalTime>2000</TotalTime>
  <ScaleCrop>false</ScaleCrop>
  <LinksUpToDate>false</LinksUpToDate>
  <CharactersWithSpaces>10864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2018-06-30T12:15:00Z</dcterms:created>
  <dc:creator>Hewlett-Packard Company</dc:creator>
  <cp:lastModifiedBy>HP</cp:lastModifiedBy>
  <cp:lastPrinted>2018-07-27T01:13:00Z</cp:lastPrinted>
  <dcterms:modified xsi:type="dcterms:W3CDTF">2018-08-18T00:49:40Z</dcterms:modified>
  <cp:revision>572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